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A3" w:rsidRDefault="00120DA3">
      <w:pPr>
        <w:pStyle w:val="NormalWeb"/>
        <w:pBdr>
          <w:top w:val="none" w:sz="0" w:space="0" w:color="auto"/>
          <w:left w:val="none" w:sz="0" w:space="0" w:color="auto"/>
          <w:bottom w:val="none" w:sz="0" w:space="0" w:color="auto"/>
          <w:right w:val="none" w:sz="0" w:space="0" w:color="auto"/>
          <w:bar w:val="none" w:sz="0" w:color="auto"/>
        </w:pBdr>
        <w:rPr>
          <w:rFonts w:ascii="Arial"/>
        </w:rPr>
      </w:pPr>
      <w:bookmarkStart w:id="0" w:name="_GoBack"/>
      <w:bookmarkEnd w:id="0"/>
    </w:p>
    <w:p w:rsidR="00120DA3" w:rsidRDefault="00120DA3">
      <w:pPr>
        <w:pStyle w:val="NormalWeb"/>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b/>
          <w:bCs/>
          <w:u w:val="single" w:color="FF0000"/>
        </w:rPr>
      </w:pPr>
      <w:r>
        <w:rPr>
          <w:rFonts w:ascii="Arial"/>
          <w:b/>
          <w:bCs/>
          <w:u w:val="single"/>
        </w:rPr>
        <w:t xml:space="preserve">Vote </w:t>
      </w:r>
      <w:r>
        <w:rPr>
          <w:rFonts w:hAnsi="Arial"/>
          <w:b/>
          <w:bCs/>
          <w:u w:val="single"/>
        </w:rPr>
        <w:t>“</w:t>
      </w:r>
      <w:r>
        <w:rPr>
          <w:rFonts w:ascii="Arial"/>
          <w:b/>
          <w:bCs/>
          <w:u w:val="single"/>
        </w:rPr>
        <w:t>Yes</w:t>
      </w:r>
      <w:r>
        <w:rPr>
          <w:rFonts w:hAnsi="Arial"/>
          <w:b/>
          <w:bCs/>
          <w:u w:val="single"/>
        </w:rPr>
        <w:t>”</w:t>
      </w:r>
      <w:r>
        <w:rPr>
          <w:rFonts w:hAnsi="Arial"/>
          <w:b/>
          <w:bCs/>
          <w:u w:val="single"/>
        </w:rPr>
        <w:t xml:space="preserve"> </w:t>
      </w:r>
      <w:r>
        <w:rPr>
          <w:rFonts w:ascii="Arial"/>
          <w:b/>
          <w:bCs/>
          <w:u w:val="single"/>
        </w:rPr>
        <w:t>on HF 2443</w:t>
      </w:r>
    </w:p>
    <w:p w:rsidR="00120DA3" w:rsidRDefault="00120DA3">
      <w:pPr>
        <w:pStyle w:val="NormalWeb"/>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rPr>
      </w:pPr>
      <w:r>
        <w:rPr>
          <w:rFonts w:ascii="Arial"/>
        </w:rPr>
        <w:t>Sales and Use Tax Exemption for Supplies used in the Manufacturing Process</w:t>
      </w:r>
    </w:p>
    <w:p w:rsidR="00120DA3" w:rsidRDefault="00120DA3">
      <w:pPr>
        <w:pStyle w:val="Heading"/>
        <w:pBdr>
          <w:top w:val="none" w:sz="0" w:space="0" w:color="auto"/>
          <w:left w:val="none" w:sz="0" w:space="0" w:color="auto"/>
          <w:bottom w:val="none" w:sz="0" w:space="0" w:color="auto"/>
          <w:right w:val="none" w:sz="0" w:space="0" w:color="auto"/>
          <w:bar w:val="none" w:sz="0" w:color="auto"/>
        </w:pBdr>
        <w:spacing w:before="100" w:after="100"/>
        <w:rPr>
          <w:rFonts w:ascii="Arial" w:hAnsi="Arial" w:cs="Arial"/>
          <w:kern w:val="36"/>
          <w:sz w:val="24"/>
          <w:szCs w:val="24"/>
          <w:u w:color="000000"/>
        </w:rPr>
      </w:pPr>
    </w:p>
    <w:p w:rsidR="00120DA3" w:rsidRDefault="00120DA3">
      <w:pPr>
        <w:pStyle w:val="Heading"/>
        <w:pBdr>
          <w:top w:val="none" w:sz="0" w:space="0" w:color="auto"/>
          <w:left w:val="none" w:sz="0" w:space="0" w:color="auto"/>
          <w:bottom w:val="none" w:sz="0" w:space="0" w:color="auto"/>
          <w:right w:val="none" w:sz="0" w:space="0" w:color="auto"/>
          <w:bar w:val="none" w:sz="0" w:color="auto"/>
        </w:pBdr>
        <w:spacing w:before="100" w:after="100"/>
        <w:rPr>
          <w:rFonts w:ascii="Arial" w:hAnsi="Arial" w:cs="Arial"/>
          <w:kern w:val="36"/>
          <w:sz w:val="24"/>
          <w:szCs w:val="24"/>
          <w:u w:color="000000"/>
        </w:rPr>
      </w:pPr>
      <w:r>
        <w:rPr>
          <w:rFonts w:ascii="Arial" w:eastAsia="Times New Roman"/>
          <w:kern w:val="36"/>
          <w:sz w:val="24"/>
          <w:szCs w:val="24"/>
          <w:u w:color="000000"/>
        </w:rPr>
        <w:t>Background:</w:t>
      </w:r>
    </w:p>
    <w:p w:rsidR="00120DA3" w:rsidRDefault="00120DA3">
      <w:pPr>
        <w:pStyle w:val="NormalWeb"/>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rPr>
        <w:t>The Iowa House in 2013 passed HF 634 unanimously. A provision in the language allowed consumable supplies used in manufacturing to be exempt from sales and use tax. The issue has been a point of protest between the Iowa Department of Revenue and taxpayers for many years. The provision sought to clarify the definition of replacement parts and include supplies consumed during the manufacturing process as</w:t>
      </w:r>
      <w:r w:rsidR="00701988">
        <w:rPr>
          <w:rFonts w:ascii="Arial"/>
        </w:rPr>
        <w:t xml:space="preserve"> exempt from sales and use tax. </w:t>
      </w:r>
      <w:r w:rsidR="00701988" w:rsidRPr="00A47A67">
        <w:rPr>
          <w:rFonts w:ascii="Arial"/>
          <w:u w:val="single"/>
        </w:rPr>
        <w:t>This year</w:t>
      </w:r>
      <w:r w:rsidR="00701988" w:rsidRPr="00A47A67">
        <w:rPr>
          <w:rFonts w:ascii="Arial"/>
          <w:u w:val="single"/>
        </w:rPr>
        <w:t>’</w:t>
      </w:r>
      <w:r w:rsidR="00701988" w:rsidRPr="00A47A67">
        <w:rPr>
          <w:rFonts w:ascii="Arial"/>
          <w:u w:val="single"/>
        </w:rPr>
        <w:t>s bill, HF 2443 recently passed the Iowa House with broad bipartisan support by an 81-17 margin</w:t>
      </w:r>
      <w:r w:rsidR="00701988">
        <w:rPr>
          <w:rFonts w:ascii="Arial"/>
          <w:u w:val="single"/>
        </w:rPr>
        <w:t>.</w:t>
      </w:r>
    </w:p>
    <w:p w:rsidR="00120DA3" w:rsidRDefault="00120DA3">
      <w:pPr>
        <w:pStyle w:val="NormalWeb"/>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rsidR="00120DA3" w:rsidRDefault="00120DA3">
      <w:pPr>
        <w:pStyle w:val="NormalWeb"/>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b/>
          <w:bCs/>
        </w:rPr>
        <w:t>HF 2443-Why the language is needed:</w:t>
      </w:r>
    </w:p>
    <w:p w:rsidR="00120DA3" w:rsidRDefault="00120DA3">
      <w:pPr>
        <w:pStyle w:val="Body"/>
        <w:numPr>
          <w:ilvl w:val="0"/>
          <w:numId w:val="3"/>
        </w:numPr>
        <w:pBdr>
          <w:top w:val="none" w:sz="0" w:space="0" w:color="auto"/>
          <w:left w:val="none" w:sz="0" w:space="0" w:color="auto"/>
          <w:bottom w:val="none" w:sz="0" w:space="0" w:color="auto"/>
          <w:right w:val="none" w:sz="0" w:space="0" w:color="auto"/>
          <w:bar w:val="none" w:sz="0" w:color="auto"/>
        </w:pBdr>
        <w:spacing w:before="100" w:after="100"/>
        <w:rPr>
          <w:rFonts w:ascii="Arial" w:hAnsi="Arial" w:cs="Arial"/>
          <w:sz w:val="24"/>
          <w:szCs w:val="24"/>
          <w:u w:color="000000"/>
        </w:rPr>
      </w:pPr>
      <w:r>
        <w:rPr>
          <w:rFonts w:ascii="Arial" w:eastAsia="Times New Roman"/>
          <w:sz w:val="24"/>
          <w:szCs w:val="24"/>
          <w:u w:color="000000"/>
        </w:rPr>
        <w:t xml:space="preserve">Good tax policy: </w:t>
      </w:r>
      <w:smartTag w:uri="urn:schemas-microsoft-com:office:smarttags" w:element="place">
        <w:smartTag w:uri="urn:schemas-microsoft-com:office:smarttags" w:element="State">
          <w:r>
            <w:rPr>
              <w:rFonts w:ascii="Arial" w:eastAsia="Times New Roman"/>
              <w:sz w:val="24"/>
              <w:szCs w:val="24"/>
              <w:u w:color="000000"/>
            </w:rPr>
            <w:t>Iowa</w:t>
          </w:r>
        </w:smartTag>
      </w:smartTag>
      <w:r>
        <w:rPr>
          <w:rFonts w:ascii="Arial" w:eastAsia="Times New Roman"/>
          <w:sz w:val="24"/>
          <w:szCs w:val="24"/>
          <w:u w:color="000000"/>
        </w:rPr>
        <w:t xml:space="preserve"> manufacturers should not be double-taxed. Consumable supplies are inputs into the manufacturing process and the output is taxed</w:t>
      </w:r>
    </w:p>
    <w:p w:rsidR="00120DA3" w:rsidRDefault="00120DA3">
      <w:pPr>
        <w:pStyle w:val="Body"/>
        <w:numPr>
          <w:ilvl w:val="0"/>
          <w:numId w:val="3"/>
        </w:numPr>
        <w:pBdr>
          <w:top w:val="none" w:sz="0" w:space="0" w:color="auto"/>
          <w:left w:val="none" w:sz="0" w:space="0" w:color="auto"/>
          <w:bottom w:val="none" w:sz="0" w:space="0" w:color="auto"/>
          <w:right w:val="none" w:sz="0" w:space="0" w:color="auto"/>
          <w:bar w:val="none" w:sz="0" w:color="auto"/>
        </w:pBdr>
        <w:spacing w:before="100" w:after="100"/>
        <w:rPr>
          <w:rFonts w:ascii="Arial" w:hAnsi="Arial" w:cs="Arial"/>
          <w:sz w:val="24"/>
          <w:szCs w:val="24"/>
          <w:u w:color="000000"/>
        </w:rPr>
      </w:pPr>
      <w:r>
        <w:rPr>
          <w:rFonts w:ascii="Arial" w:eastAsia="Times New Roman"/>
          <w:sz w:val="24"/>
          <w:szCs w:val="24"/>
          <w:u w:color="000000"/>
        </w:rPr>
        <w:t>Clarifies the definition of replacement parts and supplies for machinery and equipment sales and use tax exemptions</w:t>
      </w:r>
    </w:p>
    <w:p w:rsidR="00120DA3" w:rsidRDefault="00120DA3">
      <w:pPr>
        <w:pStyle w:val="Body"/>
        <w:numPr>
          <w:ilvl w:val="0"/>
          <w:numId w:val="3"/>
        </w:numPr>
        <w:pBdr>
          <w:top w:val="none" w:sz="0" w:space="0" w:color="auto"/>
          <w:left w:val="none" w:sz="0" w:space="0" w:color="auto"/>
          <w:bottom w:val="none" w:sz="0" w:space="0" w:color="auto"/>
          <w:right w:val="none" w:sz="0" w:space="0" w:color="auto"/>
          <w:bar w:val="none" w:sz="0" w:color="auto"/>
        </w:pBdr>
        <w:spacing w:before="100" w:after="100"/>
        <w:rPr>
          <w:rFonts w:ascii="Arial" w:hAnsi="Arial" w:cs="Arial"/>
          <w:sz w:val="24"/>
          <w:szCs w:val="24"/>
          <w:u w:color="000000"/>
        </w:rPr>
      </w:pPr>
      <w:r>
        <w:rPr>
          <w:rFonts w:ascii="Arial" w:eastAsia="Times New Roman"/>
          <w:sz w:val="24"/>
          <w:szCs w:val="24"/>
          <w:u w:color="000000"/>
        </w:rPr>
        <w:t>Eliminates a gray area between the Department of Revenue and taxpayers as it relates to what is/is not taxable</w:t>
      </w:r>
    </w:p>
    <w:p w:rsidR="00120DA3" w:rsidRDefault="00120DA3">
      <w:pPr>
        <w:pStyle w:val="Body"/>
        <w:numPr>
          <w:ilvl w:val="0"/>
          <w:numId w:val="3"/>
        </w:numPr>
        <w:pBdr>
          <w:top w:val="none" w:sz="0" w:space="0" w:color="auto"/>
          <w:left w:val="none" w:sz="0" w:space="0" w:color="auto"/>
          <w:bottom w:val="none" w:sz="0" w:space="0" w:color="auto"/>
          <w:right w:val="none" w:sz="0" w:space="0" w:color="auto"/>
          <w:bar w:val="none" w:sz="0" w:color="auto"/>
        </w:pBdr>
        <w:spacing w:before="100" w:after="100"/>
        <w:rPr>
          <w:rFonts w:ascii="Arial" w:hAnsi="Arial" w:cs="Arial"/>
          <w:sz w:val="24"/>
          <w:szCs w:val="24"/>
          <w:u w:color="000000"/>
        </w:rPr>
      </w:pPr>
      <w:r>
        <w:rPr>
          <w:rFonts w:ascii="Arial" w:eastAsia="Times New Roman"/>
          <w:sz w:val="24"/>
          <w:szCs w:val="24"/>
          <w:u w:color="000000"/>
        </w:rPr>
        <w:t xml:space="preserve">Supports </w:t>
      </w:r>
      <w:smartTag w:uri="urn:schemas-microsoft-com:office:smarttags" w:element="place">
        <w:smartTag w:uri="urn:schemas-microsoft-com:office:smarttags" w:element="State">
          <w:r>
            <w:rPr>
              <w:rFonts w:ascii="Arial" w:eastAsia="Times New Roman"/>
              <w:sz w:val="24"/>
              <w:szCs w:val="24"/>
              <w:u w:color="000000"/>
            </w:rPr>
            <w:t>Iowa</w:t>
          </w:r>
        </w:smartTag>
      </w:smartTag>
      <w:r>
        <w:rPr>
          <w:rFonts w:ascii="Arial" w:eastAsia="Times New Roman"/>
          <w:sz w:val="24"/>
          <w:szCs w:val="24"/>
          <w:u w:color="000000"/>
        </w:rPr>
        <w:t xml:space="preserve"> companies</w:t>
      </w:r>
    </w:p>
    <w:p w:rsidR="00120DA3" w:rsidRDefault="00120DA3">
      <w:pPr>
        <w:pStyle w:val="Body"/>
        <w:numPr>
          <w:ilvl w:val="0"/>
          <w:numId w:val="3"/>
        </w:numPr>
        <w:pBdr>
          <w:top w:val="none" w:sz="0" w:space="0" w:color="auto"/>
          <w:left w:val="none" w:sz="0" w:space="0" w:color="auto"/>
          <w:bottom w:val="none" w:sz="0" w:space="0" w:color="auto"/>
          <w:right w:val="none" w:sz="0" w:space="0" w:color="auto"/>
          <w:bar w:val="none" w:sz="0" w:color="auto"/>
        </w:pBdr>
        <w:spacing w:before="100" w:after="100"/>
        <w:rPr>
          <w:rFonts w:ascii="Arial" w:hAnsi="Arial" w:cs="Arial"/>
          <w:sz w:val="24"/>
          <w:szCs w:val="24"/>
          <w:u w:color="000000"/>
        </w:rPr>
      </w:pPr>
      <w:r>
        <w:rPr>
          <w:rFonts w:ascii="Arial" w:eastAsia="Times New Roman"/>
          <w:sz w:val="24"/>
          <w:szCs w:val="24"/>
          <w:u w:color="000000"/>
        </w:rPr>
        <w:t>Allows manufacturers who pay good wages and benefits to invest in equipment and employees</w:t>
      </w:r>
    </w:p>
    <w:p w:rsidR="00120DA3" w:rsidRDefault="00120DA3">
      <w:pPr>
        <w:pStyle w:val="Body"/>
        <w:numPr>
          <w:ilvl w:val="0"/>
          <w:numId w:val="3"/>
        </w:numPr>
        <w:pBdr>
          <w:top w:val="none" w:sz="0" w:space="0" w:color="auto"/>
          <w:left w:val="none" w:sz="0" w:space="0" w:color="auto"/>
          <w:bottom w:val="none" w:sz="0" w:space="0" w:color="auto"/>
          <w:right w:val="none" w:sz="0" w:space="0" w:color="auto"/>
          <w:bar w:val="none" w:sz="0" w:color="auto"/>
        </w:pBdr>
        <w:spacing w:before="100" w:after="100"/>
        <w:rPr>
          <w:rFonts w:ascii="Arial" w:hAnsi="Arial" w:cs="Arial"/>
          <w:sz w:val="24"/>
          <w:szCs w:val="24"/>
          <w:u w:color="000000"/>
        </w:rPr>
      </w:pPr>
      <w:r>
        <w:rPr>
          <w:rFonts w:ascii="Arial" w:eastAsia="Times New Roman"/>
          <w:sz w:val="24"/>
          <w:szCs w:val="24"/>
          <w:u w:color="000000"/>
        </w:rPr>
        <w:t>Coupled with other investments to provide manufacturers with a skilled workforce, this effort will help ensure employers will be in a position to more broadly utilize the developing talent pool</w:t>
      </w:r>
    </w:p>
    <w:p w:rsidR="00120DA3" w:rsidRDefault="00120DA3">
      <w:pPr>
        <w:pStyle w:val="Body"/>
        <w:numPr>
          <w:ilvl w:val="0"/>
          <w:numId w:val="3"/>
        </w:numPr>
        <w:pBdr>
          <w:top w:val="none" w:sz="0" w:space="0" w:color="auto"/>
          <w:left w:val="none" w:sz="0" w:space="0" w:color="auto"/>
          <w:bottom w:val="none" w:sz="0" w:space="0" w:color="auto"/>
          <w:right w:val="none" w:sz="0" w:space="0" w:color="auto"/>
          <w:bar w:val="none" w:sz="0" w:color="auto"/>
        </w:pBdr>
        <w:spacing w:before="100" w:after="100"/>
        <w:rPr>
          <w:rFonts w:ascii="Arial" w:hAnsi="Arial" w:cs="Arial"/>
          <w:sz w:val="24"/>
          <w:szCs w:val="24"/>
          <w:u w:color="000000"/>
        </w:rPr>
      </w:pPr>
      <w:r>
        <w:rPr>
          <w:rFonts w:ascii="Arial" w:eastAsia="Times New Roman"/>
          <w:sz w:val="24"/>
          <w:szCs w:val="24"/>
          <w:u w:color="000000"/>
        </w:rPr>
        <w:t>Result of 10 years of study by the statewide appointed Industrial Processing Study Committee</w:t>
      </w:r>
    </w:p>
    <w:p w:rsidR="00120DA3" w:rsidRDefault="00120DA3">
      <w:pPr>
        <w:pStyle w:val="NormalWeb"/>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rsidR="00120DA3" w:rsidRDefault="00120DA3">
      <w:pPr>
        <w:pStyle w:val="NormalWeb"/>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r>
        <w:rPr>
          <w:rFonts w:ascii="Arial"/>
          <w:b/>
          <w:bCs/>
        </w:rPr>
        <w:t xml:space="preserve">Groups Supporting HF 2443: </w:t>
      </w:r>
    </w:p>
    <w:p w:rsidR="00120DA3" w:rsidRDefault="00120DA3">
      <w:pPr>
        <w:pStyle w:val="NormalWeb"/>
        <w:pBdr>
          <w:top w:val="none" w:sz="0" w:space="0" w:color="auto"/>
          <w:left w:val="none" w:sz="0" w:space="0" w:color="auto"/>
          <w:bottom w:val="none" w:sz="0" w:space="0" w:color="auto"/>
          <w:right w:val="none" w:sz="0" w:space="0" w:color="auto"/>
          <w:bar w:val="none" w:sz="0" w:color="auto"/>
        </w:pBdr>
      </w:pPr>
      <w:r>
        <w:rPr>
          <w:rFonts w:ascii="Arial"/>
        </w:rPr>
        <w:t>Iowa Association of Business and Industry (ABI), Iowa Taxpayers Association (ITA), Iowa Chamber Alliance, Greater Des Moines Partnership, Master Builders of Iowa, 3M, ALCOA, Archer Daniels Midland (ADM), Cargill, Lennox International, Casey</w:t>
      </w:r>
      <w:r>
        <w:rPr>
          <w:rFonts w:hAnsi="Arial"/>
        </w:rPr>
        <w:t>’</w:t>
      </w:r>
      <w:r>
        <w:rPr>
          <w:rFonts w:ascii="Arial"/>
        </w:rPr>
        <w:t>s, John Deere, Novartis</w:t>
      </w:r>
      <w:r w:rsidR="00701988">
        <w:rPr>
          <w:rFonts w:ascii="Arial"/>
        </w:rPr>
        <w:t>, SSAB/IPSCO Steel, Iowa Recycling Association</w:t>
      </w:r>
    </w:p>
    <w:sectPr w:rsidR="00120DA3" w:rsidSect="00AF01FA">
      <w:headerReference w:type="default" r:id="rId7"/>
      <w:footerReference w:type="default" r:id="rId8"/>
      <w:pgSz w:w="12240" w:h="15840"/>
      <w:pgMar w:top="1440" w:right="1440" w:bottom="1440" w:left="1440" w:header="720" w:footer="86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3A6" w:rsidRDefault="00A613A6" w:rsidP="00AF01F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613A6" w:rsidRDefault="00A613A6" w:rsidP="00AF01F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DA3" w:rsidRDefault="00120D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3A6" w:rsidRDefault="00A613A6" w:rsidP="00AF01F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613A6" w:rsidRDefault="00A613A6" w:rsidP="00AF01F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DA3" w:rsidRDefault="00120D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53ACC"/>
    <w:multiLevelType w:val="multilevel"/>
    <w:tmpl w:val="FFFFFFFF"/>
    <w:lvl w:ilvl="0">
      <w:start w:val="1"/>
      <w:numFmt w:val="bullet"/>
      <w:lvlText w:val="•"/>
      <w:lvlJc w:val="left"/>
      <w:pPr>
        <w:tabs>
          <w:tab w:val="num" w:pos="753"/>
        </w:tabs>
        <w:ind w:left="753" w:hanging="393"/>
      </w:pPr>
      <w:rPr>
        <w:rFonts w:ascii="Arial" w:eastAsia="Times New Roman" w:hAnsi="Arial"/>
        <w:position w:val="0"/>
        <w:sz w:val="24"/>
        <w:u w:color="000000"/>
      </w:rPr>
    </w:lvl>
    <w:lvl w:ilvl="1">
      <w:start w:val="1"/>
      <w:numFmt w:val="bullet"/>
      <w:lvlText w:val="o"/>
      <w:lvlJc w:val="left"/>
      <w:pPr>
        <w:tabs>
          <w:tab w:val="num" w:pos="1440"/>
        </w:tabs>
        <w:ind w:left="1440" w:hanging="360"/>
      </w:pPr>
      <w:rPr>
        <w:rFonts w:ascii="Arial" w:eastAsia="Times New Roman" w:hAnsi="Arial"/>
        <w:position w:val="0"/>
        <w:sz w:val="24"/>
        <w:u w:color="000000"/>
      </w:rPr>
    </w:lvl>
    <w:lvl w:ilvl="2">
      <w:start w:val="1"/>
      <w:numFmt w:val="bullet"/>
      <w:lvlText w:val="▪"/>
      <w:lvlJc w:val="left"/>
      <w:pPr>
        <w:tabs>
          <w:tab w:val="num" w:pos="2160"/>
        </w:tabs>
        <w:ind w:left="2160" w:hanging="360"/>
      </w:pPr>
      <w:rPr>
        <w:rFonts w:ascii="Arial" w:eastAsia="Times New Roman" w:hAnsi="Arial"/>
        <w:position w:val="0"/>
        <w:sz w:val="24"/>
        <w:u w:color="000000"/>
      </w:rPr>
    </w:lvl>
    <w:lvl w:ilvl="3">
      <w:start w:val="1"/>
      <w:numFmt w:val="bullet"/>
      <w:lvlText w:val="▪"/>
      <w:lvlJc w:val="left"/>
      <w:pPr>
        <w:tabs>
          <w:tab w:val="num" w:pos="2880"/>
        </w:tabs>
        <w:ind w:left="2880" w:hanging="360"/>
      </w:pPr>
      <w:rPr>
        <w:rFonts w:ascii="Arial" w:eastAsia="Times New Roman" w:hAnsi="Arial"/>
        <w:position w:val="0"/>
        <w:sz w:val="24"/>
        <w:u w:color="000000"/>
      </w:rPr>
    </w:lvl>
    <w:lvl w:ilvl="4">
      <w:start w:val="1"/>
      <w:numFmt w:val="bullet"/>
      <w:lvlText w:val="▪"/>
      <w:lvlJc w:val="left"/>
      <w:pPr>
        <w:tabs>
          <w:tab w:val="num" w:pos="3600"/>
        </w:tabs>
        <w:ind w:left="3600" w:hanging="360"/>
      </w:pPr>
      <w:rPr>
        <w:rFonts w:ascii="Arial" w:eastAsia="Times New Roman" w:hAnsi="Arial"/>
        <w:position w:val="0"/>
        <w:sz w:val="24"/>
        <w:u w:color="000000"/>
      </w:rPr>
    </w:lvl>
    <w:lvl w:ilvl="5">
      <w:start w:val="1"/>
      <w:numFmt w:val="bullet"/>
      <w:lvlText w:val="▪"/>
      <w:lvlJc w:val="left"/>
      <w:pPr>
        <w:tabs>
          <w:tab w:val="num" w:pos="4320"/>
        </w:tabs>
        <w:ind w:left="4320" w:hanging="360"/>
      </w:pPr>
      <w:rPr>
        <w:rFonts w:ascii="Arial" w:eastAsia="Times New Roman" w:hAnsi="Arial"/>
        <w:position w:val="0"/>
        <w:sz w:val="24"/>
        <w:u w:color="000000"/>
      </w:rPr>
    </w:lvl>
    <w:lvl w:ilvl="6">
      <w:start w:val="1"/>
      <w:numFmt w:val="bullet"/>
      <w:lvlText w:val="▪"/>
      <w:lvlJc w:val="left"/>
      <w:pPr>
        <w:tabs>
          <w:tab w:val="num" w:pos="5040"/>
        </w:tabs>
        <w:ind w:left="5040" w:hanging="360"/>
      </w:pPr>
      <w:rPr>
        <w:rFonts w:ascii="Arial" w:eastAsia="Times New Roman" w:hAnsi="Arial"/>
        <w:position w:val="0"/>
        <w:sz w:val="24"/>
        <w:u w:color="000000"/>
      </w:rPr>
    </w:lvl>
    <w:lvl w:ilvl="7">
      <w:start w:val="1"/>
      <w:numFmt w:val="bullet"/>
      <w:lvlText w:val="▪"/>
      <w:lvlJc w:val="left"/>
      <w:pPr>
        <w:tabs>
          <w:tab w:val="num" w:pos="5760"/>
        </w:tabs>
        <w:ind w:left="5760" w:hanging="360"/>
      </w:pPr>
      <w:rPr>
        <w:rFonts w:ascii="Arial" w:eastAsia="Times New Roman" w:hAnsi="Arial"/>
        <w:position w:val="0"/>
        <w:sz w:val="24"/>
        <w:u w:color="000000"/>
      </w:rPr>
    </w:lvl>
    <w:lvl w:ilvl="8">
      <w:start w:val="1"/>
      <w:numFmt w:val="bullet"/>
      <w:lvlText w:val="▪"/>
      <w:lvlJc w:val="left"/>
      <w:pPr>
        <w:tabs>
          <w:tab w:val="num" w:pos="6480"/>
        </w:tabs>
        <w:ind w:left="6480" w:hanging="360"/>
      </w:pPr>
      <w:rPr>
        <w:rFonts w:ascii="Arial" w:eastAsia="Times New Roman" w:hAnsi="Arial"/>
        <w:position w:val="0"/>
        <w:sz w:val="24"/>
        <w:u w:color="000000"/>
      </w:rPr>
    </w:lvl>
  </w:abstractNum>
  <w:abstractNum w:abstractNumId="1">
    <w:nsid w:val="71E536A1"/>
    <w:multiLevelType w:val="multilevel"/>
    <w:tmpl w:val="FFFFFFFF"/>
    <w:lvl w:ilvl="0">
      <w:start w:val="1"/>
      <w:numFmt w:val="bullet"/>
      <w:lvlText w:val="•"/>
      <w:lvlJc w:val="left"/>
      <w:pPr>
        <w:tabs>
          <w:tab w:val="num" w:pos="690"/>
        </w:tabs>
        <w:ind w:left="69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4">
      <w:start w:val="1"/>
      <w:numFmt w:val="bullet"/>
      <w:lvlText w:val="▪"/>
      <w:lvlJc w:val="left"/>
      <w:pPr>
        <w:tabs>
          <w:tab w:val="num" w:pos="3570"/>
        </w:tabs>
        <w:ind w:left="357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7">
      <w:start w:val="1"/>
      <w:numFmt w:val="bullet"/>
      <w:lvlText w:val="▪"/>
      <w:lvlJc w:val="left"/>
      <w:pPr>
        <w:tabs>
          <w:tab w:val="num" w:pos="5730"/>
        </w:tabs>
        <w:ind w:left="573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abstractNum>
  <w:abstractNum w:abstractNumId="2">
    <w:nsid w:val="7B0E0818"/>
    <w:multiLevelType w:val="multilevel"/>
    <w:tmpl w:val="FFFFFFFF"/>
    <w:styleLink w:val="List0"/>
    <w:lvl w:ilvl="0">
      <w:start w:val="1"/>
      <w:numFmt w:val="bullet"/>
      <w:lvlText w:val="•"/>
      <w:lvlJc w:val="left"/>
      <w:pPr>
        <w:tabs>
          <w:tab w:val="num" w:pos="753"/>
        </w:tabs>
        <w:ind w:left="753" w:hanging="393"/>
      </w:pPr>
      <w:rPr>
        <w:rFonts w:ascii="Arial" w:eastAsia="Times New Roman" w:hAnsi="Arial"/>
        <w:position w:val="0"/>
        <w:sz w:val="24"/>
        <w:u w:color="000000"/>
      </w:rPr>
    </w:lvl>
    <w:lvl w:ilvl="1">
      <w:start w:val="1"/>
      <w:numFmt w:val="bullet"/>
      <w:lvlText w:val="o"/>
      <w:lvlJc w:val="left"/>
      <w:pPr>
        <w:tabs>
          <w:tab w:val="num" w:pos="1440"/>
        </w:tabs>
        <w:ind w:left="1440" w:hanging="360"/>
      </w:pPr>
      <w:rPr>
        <w:rFonts w:ascii="Arial" w:eastAsia="Times New Roman" w:hAnsi="Arial"/>
        <w:position w:val="0"/>
        <w:sz w:val="24"/>
        <w:u w:color="000000"/>
      </w:rPr>
    </w:lvl>
    <w:lvl w:ilvl="2">
      <w:start w:val="1"/>
      <w:numFmt w:val="bullet"/>
      <w:lvlText w:val="▪"/>
      <w:lvlJc w:val="left"/>
      <w:pPr>
        <w:tabs>
          <w:tab w:val="num" w:pos="2160"/>
        </w:tabs>
        <w:ind w:left="2160" w:hanging="360"/>
      </w:pPr>
      <w:rPr>
        <w:rFonts w:ascii="Arial" w:eastAsia="Times New Roman" w:hAnsi="Arial"/>
        <w:position w:val="0"/>
        <w:sz w:val="24"/>
        <w:u w:color="000000"/>
      </w:rPr>
    </w:lvl>
    <w:lvl w:ilvl="3">
      <w:start w:val="1"/>
      <w:numFmt w:val="bullet"/>
      <w:lvlText w:val="▪"/>
      <w:lvlJc w:val="left"/>
      <w:pPr>
        <w:tabs>
          <w:tab w:val="num" w:pos="2880"/>
        </w:tabs>
        <w:ind w:left="2880" w:hanging="360"/>
      </w:pPr>
      <w:rPr>
        <w:rFonts w:ascii="Arial" w:eastAsia="Times New Roman" w:hAnsi="Arial"/>
        <w:position w:val="0"/>
        <w:sz w:val="24"/>
        <w:u w:color="000000"/>
      </w:rPr>
    </w:lvl>
    <w:lvl w:ilvl="4">
      <w:start w:val="1"/>
      <w:numFmt w:val="bullet"/>
      <w:lvlText w:val="▪"/>
      <w:lvlJc w:val="left"/>
      <w:pPr>
        <w:tabs>
          <w:tab w:val="num" w:pos="3600"/>
        </w:tabs>
        <w:ind w:left="3600" w:hanging="360"/>
      </w:pPr>
      <w:rPr>
        <w:rFonts w:ascii="Arial" w:eastAsia="Times New Roman" w:hAnsi="Arial"/>
        <w:position w:val="0"/>
        <w:sz w:val="24"/>
        <w:u w:color="000000"/>
      </w:rPr>
    </w:lvl>
    <w:lvl w:ilvl="5">
      <w:start w:val="1"/>
      <w:numFmt w:val="bullet"/>
      <w:lvlText w:val="▪"/>
      <w:lvlJc w:val="left"/>
      <w:pPr>
        <w:tabs>
          <w:tab w:val="num" w:pos="4320"/>
        </w:tabs>
        <w:ind w:left="4320" w:hanging="360"/>
      </w:pPr>
      <w:rPr>
        <w:rFonts w:ascii="Arial" w:eastAsia="Times New Roman" w:hAnsi="Arial"/>
        <w:position w:val="0"/>
        <w:sz w:val="24"/>
        <w:u w:color="000000"/>
      </w:rPr>
    </w:lvl>
    <w:lvl w:ilvl="6">
      <w:start w:val="1"/>
      <w:numFmt w:val="bullet"/>
      <w:lvlText w:val="▪"/>
      <w:lvlJc w:val="left"/>
      <w:pPr>
        <w:tabs>
          <w:tab w:val="num" w:pos="5040"/>
        </w:tabs>
        <w:ind w:left="5040" w:hanging="360"/>
      </w:pPr>
      <w:rPr>
        <w:rFonts w:ascii="Arial" w:eastAsia="Times New Roman" w:hAnsi="Arial"/>
        <w:position w:val="0"/>
        <w:sz w:val="24"/>
        <w:u w:color="000000"/>
      </w:rPr>
    </w:lvl>
    <w:lvl w:ilvl="7">
      <w:start w:val="1"/>
      <w:numFmt w:val="bullet"/>
      <w:lvlText w:val="▪"/>
      <w:lvlJc w:val="left"/>
      <w:pPr>
        <w:tabs>
          <w:tab w:val="num" w:pos="5760"/>
        </w:tabs>
        <w:ind w:left="5760" w:hanging="360"/>
      </w:pPr>
      <w:rPr>
        <w:rFonts w:ascii="Arial" w:eastAsia="Times New Roman" w:hAnsi="Arial"/>
        <w:position w:val="0"/>
        <w:sz w:val="24"/>
        <w:u w:color="000000"/>
      </w:rPr>
    </w:lvl>
    <w:lvl w:ilvl="8">
      <w:start w:val="1"/>
      <w:numFmt w:val="bullet"/>
      <w:lvlText w:val="▪"/>
      <w:lvlJc w:val="left"/>
      <w:pPr>
        <w:tabs>
          <w:tab w:val="num" w:pos="6480"/>
        </w:tabs>
        <w:ind w:left="6480" w:hanging="360"/>
      </w:pPr>
      <w:rPr>
        <w:rFonts w:ascii="Arial" w:eastAsia="Times New Roman" w:hAnsi="Arial"/>
        <w:position w:val="0"/>
        <w:sz w:val="24"/>
        <w:u w:color="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FA"/>
    <w:rsid w:val="0011220F"/>
    <w:rsid w:val="00120DA3"/>
    <w:rsid w:val="0018569A"/>
    <w:rsid w:val="003439E4"/>
    <w:rsid w:val="004215A5"/>
    <w:rsid w:val="00701988"/>
    <w:rsid w:val="009D64D1"/>
    <w:rsid w:val="00A613A6"/>
    <w:rsid w:val="00AF01FA"/>
    <w:rsid w:val="00B0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F918E83-74D3-4B94-8F8F-C5D3F0F6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1F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01FA"/>
    <w:rPr>
      <w:rFonts w:cs="Times New Roman"/>
      <w:u w:val="single"/>
    </w:rPr>
  </w:style>
  <w:style w:type="paragraph" w:styleId="NormalWeb">
    <w:name w:val="Normal (Web)"/>
    <w:basedOn w:val="Normal"/>
    <w:uiPriority w:val="99"/>
    <w:rsid w:val="00AF01FA"/>
    <w:pPr>
      <w:spacing w:before="100" w:after="100"/>
    </w:pPr>
    <w:rPr>
      <w:rFonts w:hAnsi="Arial Unicode MS" w:cs="Arial Unicode MS"/>
      <w:color w:val="000000"/>
      <w:u w:color="000000"/>
    </w:rPr>
  </w:style>
  <w:style w:type="paragraph" w:customStyle="1" w:styleId="Heading">
    <w:name w:val="Heading"/>
    <w:next w:val="Body"/>
    <w:uiPriority w:val="99"/>
    <w:rsid w:val="00AF01FA"/>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Helvetica" w:hAnsi="Helvetica" w:cs="Helvetica"/>
      <w:b/>
      <w:bCs/>
      <w:color w:val="000000"/>
      <w:sz w:val="36"/>
      <w:szCs w:val="36"/>
    </w:rPr>
  </w:style>
  <w:style w:type="paragraph" w:customStyle="1" w:styleId="Body">
    <w:name w:val="Body"/>
    <w:uiPriority w:val="99"/>
    <w:rsid w:val="00AF01F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numbering" w:customStyle="1" w:styleId="List0">
    <w:name w:val="List 0"/>
    <w:rsid w:val="001A005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 “Yes” on HF 2443</dc:title>
  <dc:creator>kcondon</dc:creator>
  <cp:lastModifiedBy>Craig Patterson</cp:lastModifiedBy>
  <cp:revision>2</cp:revision>
  <cp:lastPrinted>2014-03-17T14:58:00Z</cp:lastPrinted>
  <dcterms:created xsi:type="dcterms:W3CDTF">2014-04-05T00:43:00Z</dcterms:created>
  <dcterms:modified xsi:type="dcterms:W3CDTF">2014-04-05T00:43:00Z</dcterms:modified>
</cp:coreProperties>
</file>