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84" w:rsidRPr="00691B13" w:rsidRDefault="00E92804" w:rsidP="00A56FB2">
      <w:pPr>
        <w:spacing w:after="0"/>
        <w:jc w:val="center"/>
        <w:outlineLvl w:val="0"/>
        <w:rPr>
          <w:b/>
          <w:sz w:val="32"/>
          <w:szCs w:val="32"/>
        </w:rPr>
      </w:pPr>
      <w:r>
        <w:rPr>
          <w:b/>
          <w:sz w:val="32"/>
          <w:szCs w:val="32"/>
        </w:rPr>
        <w:t xml:space="preserve">Enterprise Zone Program </w:t>
      </w:r>
      <w:r w:rsidR="003C392A">
        <w:rPr>
          <w:b/>
          <w:sz w:val="32"/>
          <w:szCs w:val="32"/>
        </w:rPr>
        <w:t>Proposal</w:t>
      </w:r>
    </w:p>
    <w:p w:rsidR="00386D88" w:rsidRDefault="00E92804" w:rsidP="00A56FB2">
      <w:r>
        <w:t xml:space="preserve">The Enterprise Zone program (EZ) contains a “sunset” date after which no new zones can be designated. In 2011, IEDA offered a bill to revamp the program but the bill was not </w:t>
      </w:r>
      <w:r w:rsidR="003C392A">
        <w:t xml:space="preserve">well considered or </w:t>
      </w:r>
      <w:r>
        <w:t>well received.</w:t>
      </w:r>
      <w:r>
        <w:rPr>
          <w:rStyle w:val="FootnoteReference"/>
        </w:rPr>
        <w:footnoteReference w:id="1"/>
      </w:r>
      <w:r>
        <w:t xml:space="preserve"> In 2012, </w:t>
      </w:r>
      <w:r w:rsidR="00AD128A">
        <w:t xml:space="preserve">instead of reoffering the 2011 bill, </w:t>
      </w:r>
      <w:r>
        <w:t xml:space="preserve">IEDA </w:t>
      </w:r>
      <w:r w:rsidR="00AD128A">
        <w:t xml:space="preserve">pushed for </w:t>
      </w:r>
      <w:r>
        <w:t xml:space="preserve">a two-year extension of the program in its current form. </w:t>
      </w:r>
      <w:r w:rsidR="003C392A">
        <w:t xml:space="preserve">The intent of </w:t>
      </w:r>
      <w:r w:rsidR="00386D88">
        <w:t xml:space="preserve">that change was to allow time to develop a new proposal. </w:t>
      </w:r>
    </w:p>
    <w:p w:rsidR="003C392A" w:rsidRDefault="00386D88" w:rsidP="00A56FB2">
      <w:r>
        <w:t>Since 2012, IEDA has been engaged with a number of stakeholders about the future of the Enterprise Zone (</w:t>
      </w:r>
      <w:proofErr w:type="spellStart"/>
      <w:r>
        <w:t>EZ</w:t>
      </w:r>
      <w:proofErr w:type="spellEnd"/>
      <w:r>
        <w:t>)</w:t>
      </w:r>
      <w:r w:rsidRPr="00386D88">
        <w:t xml:space="preserve"> </w:t>
      </w:r>
      <w:r>
        <w:t xml:space="preserve">program. A working group was assembled to consider the program’s effectiveness and to discuss how the economic development community’s </w:t>
      </w:r>
      <w:proofErr w:type="gramStart"/>
      <w:r>
        <w:t>needs can</w:t>
      </w:r>
      <w:proofErr w:type="gramEnd"/>
      <w:r>
        <w:t xml:space="preserve"> be best served in this policy area, at both the state and the local levels. The goal of these discussions was to reach some agreement on the future of the program, and this document summarizes the resulting </w:t>
      </w:r>
      <w:r w:rsidR="00B768EC">
        <w:t xml:space="preserve">legislative </w:t>
      </w:r>
      <w:r>
        <w:t>proposal.</w:t>
      </w:r>
    </w:p>
    <w:p w:rsidR="00386D88" w:rsidRPr="00691B13" w:rsidRDefault="00386D88" w:rsidP="00386D88">
      <w:pPr>
        <w:spacing w:after="0"/>
        <w:jc w:val="center"/>
        <w:outlineLvl w:val="0"/>
        <w:rPr>
          <w:b/>
          <w:sz w:val="32"/>
          <w:szCs w:val="32"/>
        </w:rPr>
      </w:pPr>
      <w:r>
        <w:rPr>
          <w:b/>
          <w:sz w:val="32"/>
          <w:szCs w:val="32"/>
        </w:rPr>
        <w:t>Proposal Summary</w:t>
      </w:r>
    </w:p>
    <w:p w:rsidR="00386D88" w:rsidRDefault="00386D88" w:rsidP="00386D88">
      <w:r>
        <w:t xml:space="preserve">IEDA recognizes that local communities and developers have a great stake in the </w:t>
      </w:r>
      <w:proofErr w:type="spellStart"/>
      <w:r>
        <w:t>EZ</w:t>
      </w:r>
      <w:proofErr w:type="spellEnd"/>
      <w:r>
        <w:t xml:space="preserve"> program and that the program addresses some needs that no other IEDA program does. However, IEDA also recognizes that the program has significant administrative overhead as well as extensive overlap with the High Quality Jobs</w:t>
      </w:r>
      <w:r w:rsidR="00B768EC">
        <w:t xml:space="preserve"> (</w:t>
      </w:r>
      <w:proofErr w:type="spellStart"/>
      <w:r w:rsidR="00B768EC">
        <w:t>HQJ</w:t>
      </w:r>
      <w:proofErr w:type="spellEnd"/>
      <w:r w:rsidR="00B768EC">
        <w:t>)</w:t>
      </w:r>
      <w:r>
        <w:t xml:space="preserve"> program, the </w:t>
      </w:r>
      <w:proofErr w:type="spellStart"/>
      <w:r>
        <w:t>IEDA’s</w:t>
      </w:r>
      <w:proofErr w:type="spellEnd"/>
      <w:r>
        <w:t xml:space="preserve"> largest tax-based business incentive program.</w:t>
      </w:r>
    </w:p>
    <w:p w:rsidR="00B768EC" w:rsidRDefault="00B768EC" w:rsidP="00386D88">
      <w:proofErr w:type="gramStart"/>
      <w:r>
        <w:t xml:space="preserve">This goal of the proposed legislation is to keep the elements of the </w:t>
      </w:r>
      <w:proofErr w:type="spellStart"/>
      <w:r>
        <w:t>EZ</w:t>
      </w:r>
      <w:proofErr w:type="spellEnd"/>
      <w:r>
        <w:t xml:space="preserve"> program should be retained and amend</w:t>
      </w:r>
      <w:proofErr w:type="gramEnd"/>
      <w:r>
        <w:t xml:space="preserve"> or eliminate the ones that are duplicative. The bill itself has three main divisions, each one with a different purpose and a number of related changes. </w:t>
      </w:r>
    </w:p>
    <w:p w:rsidR="00554CCC" w:rsidRPr="00555C84" w:rsidRDefault="00554CCC" w:rsidP="00554CCC">
      <w:pPr>
        <w:spacing w:before="120" w:after="0"/>
        <w:outlineLvl w:val="0"/>
        <w:rPr>
          <w:b/>
          <w:sz w:val="24"/>
          <w:szCs w:val="24"/>
        </w:rPr>
      </w:pPr>
      <w:r>
        <w:rPr>
          <w:b/>
          <w:sz w:val="24"/>
          <w:szCs w:val="24"/>
        </w:rPr>
        <w:t>Division I Summary</w:t>
      </w:r>
    </w:p>
    <w:p w:rsidR="00554CCC" w:rsidRDefault="00B768EC" w:rsidP="00386D88">
      <w:r>
        <w:t xml:space="preserve">Division I </w:t>
      </w:r>
      <w:proofErr w:type="gramStart"/>
      <w:r>
        <w:t>makes</w:t>
      </w:r>
      <w:proofErr w:type="gramEnd"/>
      <w:r>
        <w:t xml:space="preserve"> a number of enhancements to the </w:t>
      </w:r>
      <w:proofErr w:type="spellStart"/>
      <w:r>
        <w:t>HQJ</w:t>
      </w:r>
      <w:proofErr w:type="spellEnd"/>
      <w:r>
        <w:t xml:space="preserve"> program to provide capabilities that it does not </w:t>
      </w:r>
      <w:r w:rsidR="003C6297">
        <w:t xml:space="preserve">currently </w:t>
      </w:r>
      <w:r>
        <w:t xml:space="preserve">have. One notable feature of the </w:t>
      </w:r>
      <w:proofErr w:type="spellStart"/>
      <w:r>
        <w:t>EZ</w:t>
      </w:r>
      <w:proofErr w:type="spellEnd"/>
      <w:r>
        <w:t xml:space="preserve"> program is a clear focus on redevelopment of distressed areas, especially urban core areas. While </w:t>
      </w:r>
      <w:proofErr w:type="spellStart"/>
      <w:r>
        <w:t>HQJ</w:t>
      </w:r>
      <w:proofErr w:type="spellEnd"/>
      <w:r>
        <w:t xml:space="preserve"> has unemployment based distress criteria, there is currently no emphasis in </w:t>
      </w:r>
      <w:proofErr w:type="spellStart"/>
      <w:r>
        <w:t>HQJ</w:t>
      </w:r>
      <w:proofErr w:type="spellEnd"/>
      <w:r>
        <w:t xml:space="preserve"> on driving incentives into redevelopment of existing sites as opposed to green field development. </w:t>
      </w:r>
    </w:p>
    <w:p w:rsidR="00B768EC" w:rsidRDefault="00B768EC" w:rsidP="00386D88">
      <w:r>
        <w:t>The bill adds the terms “</w:t>
      </w:r>
      <w:proofErr w:type="spellStart"/>
      <w:r>
        <w:t>brownfield</w:t>
      </w:r>
      <w:proofErr w:type="spellEnd"/>
      <w:r>
        <w:t>” and “</w:t>
      </w:r>
      <w:proofErr w:type="spellStart"/>
      <w:r>
        <w:t>grayf</w:t>
      </w:r>
      <w:r w:rsidR="00554CCC">
        <w:t>ield</w:t>
      </w:r>
      <w:proofErr w:type="spellEnd"/>
      <w:r w:rsidR="00554CCC">
        <w:t xml:space="preserve">” into the </w:t>
      </w:r>
      <w:proofErr w:type="spellStart"/>
      <w:r w:rsidR="00554CCC">
        <w:t>HQJ</w:t>
      </w:r>
      <w:proofErr w:type="spellEnd"/>
      <w:r w:rsidR="00554CCC">
        <w:t xml:space="preserve"> program in order to provide additional incentives for </w:t>
      </w:r>
      <w:proofErr w:type="spellStart"/>
      <w:r w:rsidR="00554CCC">
        <w:t>revelopment</w:t>
      </w:r>
      <w:proofErr w:type="spellEnd"/>
      <w:r w:rsidR="00554CCC">
        <w:t xml:space="preserve">. The existing </w:t>
      </w:r>
      <w:proofErr w:type="spellStart"/>
      <w:r w:rsidR="00554CCC">
        <w:t>HQJ</w:t>
      </w:r>
      <w:proofErr w:type="spellEnd"/>
      <w:r w:rsidR="00554CCC">
        <w:t xml:space="preserve"> wage thresholds are 120% of the </w:t>
      </w:r>
      <w:proofErr w:type="spellStart"/>
      <w:r w:rsidR="00554CCC">
        <w:t>laborshed</w:t>
      </w:r>
      <w:proofErr w:type="spellEnd"/>
      <w:r w:rsidR="00554CCC">
        <w:t xml:space="preserve"> wage unless a project is in a distressed county. The bill would allow a 90% wage threshold for any project that is developed on a </w:t>
      </w:r>
      <w:proofErr w:type="spellStart"/>
      <w:r w:rsidR="00554CCC">
        <w:t>brownfield</w:t>
      </w:r>
      <w:proofErr w:type="spellEnd"/>
      <w:r w:rsidR="00554CCC">
        <w:t xml:space="preserve"> site and a 100% wage threshold for any project that is developed on a </w:t>
      </w:r>
      <w:proofErr w:type="spellStart"/>
      <w:r w:rsidR="00554CCC">
        <w:t>grayfield</w:t>
      </w:r>
      <w:proofErr w:type="spellEnd"/>
      <w:r w:rsidR="00554CCC">
        <w:t xml:space="preserve"> site. The definitions of </w:t>
      </w:r>
      <w:proofErr w:type="spellStart"/>
      <w:r w:rsidR="00554CCC">
        <w:t>brownfield</w:t>
      </w:r>
      <w:proofErr w:type="spellEnd"/>
      <w:r w:rsidR="00554CCC">
        <w:t xml:space="preserve"> and </w:t>
      </w:r>
      <w:proofErr w:type="spellStart"/>
      <w:r w:rsidR="00554CCC">
        <w:t>grayfield</w:t>
      </w:r>
      <w:proofErr w:type="spellEnd"/>
      <w:r w:rsidR="00554CCC">
        <w:t xml:space="preserve"> are borrowed from the existing Brownfield and </w:t>
      </w:r>
      <w:proofErr w:type="spellStart"/>
      <w:r w:rsidR="00554CCC">
        <w:t>Grayfield</w:t>
      </w:r>
      <w:proofErr w:type="spellEnd"/>
      <w:r w:rsidR="00554CCC">
        <w:t xml:space="preserve"> Redevelopment Tax Credits program. This change not only puts a thumb on the scale of redevelopment, it is more flexible than the existing </w:t>
      </w:r>
      <w:proofErr w:type="spellStart"/>
      <w:r w:rsidR="00554CCC">
        <w:t>EZ</w:t>
      </w:r>
      <w:proofErr w:type="spellEnd"/>
      <w:r w:rsidR="00554CCC">
        <w:t xml:space="preserve"> program because the </w:t>
      </w:r>
      <w:proofErr w:type="spellStart"/>
      <w:r w:rsidR="00554CCC">
        <w:t>brownfield</w:t>
      </w:r>
      <w:proofErr w:type="spellEnd"/>
      <w:r w:rsidR="00554CCC">
        <w:t xml:space="preserve"> and </w:t>
      </w:r>
      <w:proofErr w:type="spellStart"/>
      <w:r w:rsidR="00554CCC">
        <w:t>grayfield</w:t>
      </w:r>
      <w:proofErr w:type="spellEnd"/>
      <w:r w:rsidR="00554CCC">
        <w:t xml:space="preserve"> wage thresholds would not be limited to a designated “zone” of a city or county. These new thresholds could be used on a site by site basis.</w:t>
      </w:r>
    </w:p>
    <w:p w:rsidR="002714B2" w:rsidRDefault="00554CCC" w:rsidP="00386D88">
      <w:r>
        <w:t xml:space="preserve">But in Iowa, it is not only the urban areas that are economically distressed. While </w:t>
      </w:r>
      <w:proofErr w:type="spellStart"/>
      <w:r>
        <w:t>HQJ</w:t>
      </w:r>
      <w:proofErr w:type="spellEnd"/>
      <w:r>
        <w:t xml:space="preserve"> currently does have distress crite</w:t>
      </w:r>
      <w:r w:rsidR="003C6297">
        <w:t xml:space="preserve">ria, there are only 31 counties eligible under the existing criteria. The </w:t>
      </w:r>
      <w:proofErr w:type="spellStart"/>
      <w:r w:rsidR="003C6297">
        <w:t>EZ</w:t>
      </w:r>
      <w:proofErr w:type="spellEnd"/>
      <w:r w:rsidR="003C6297">
        <w:t xml:space="preserve"> program currently allows approximately 45 counties to be eligible under its distress criteria. </w:t>
      </w:r>
      <w:r>
        <w:t xml:space="preserve">Therefore, Division I </w:t>
      </w:r>
      <w:r w:rsidR="003C6297">
        <w:t xml:space="preserve">of the bill also increases the number of counties that are eligible for </w:t>
      </w:r>
      <w:proofErr w:type="spellStart"/>
      <w:r w:rsidR="003C6297">
        <w:t>HQJ</w:t>
      </w:r>
      <w:proofErr w:type="spellEnd"/>
      <w:r w:rsidR="003C6297">
        <w:t xml:space="preserve"> distress criteria from 25 to 33 for both short term unemployment and long term unemployment measures. </w:t>
      </w:r>
    </w:p>
    <w:p w:rsidR="00554CCC" w:rsidRDefault="003C6297" w:rsidP="00386D88">
      <w:r>
        <w:lastRenderedPageBreak/>
        <w:t xml:space="preserve">This </w:t>
      </w:r>
      <w:r w:rsidR="002714B2">
        <w:t xml:space="preserve">change </w:t>
      </w:r>
      <w:r>
        <w:t>would result in a total of 41 eligible counties under the most current unemployment figures in use by IEDA. Below is the list of counties that would be eligible under the bill’s changes:</w:t>
      </w:r>
    </w:p>
    <w:p w:rsidR="003C6297" w:rsidRPr="002714B2" w:rsidRDefault="003C6297" w:rsidP="002714B2">
      <w:pPr>
        <w:ind w:left="720" w:right="864"/>
        <w:rPr>
          <w:b/>
        </w:rPr>
      </w:pPr>
      <w:r w:rsidRPr="002714B2">
        <w:rPr>
          <w:rFonts w:ascii="Arial" w:hAnsi="Arial" w:cs="Arial"/>
          <w:b/>
          <w:bCs/>
          <w:color w:val="000000"/>
          <w:sz w:val="20"/>
          <w:szCs w:val="20"/>
        </w:rPr>
        <w:t>Allamakee</w:t>
      </w:r>
      <w:r w:rsidR="002714B2" w:rsidRPr="002714B2">
        <w:rPr>
          <w:rFonts w:ascii="Calibri" w:hAnsi="Calibri"/>
          <w:b/>
        </w:rPr>
        <w:t xml:space="preserve">, </w:t>
      </w:r>
      <w:r w:rsidRPr="002714B2">
        <w:rPr>
          <w:rFonts w:ascii="Arial" w:hAnsi="Arial" w:cs="Arial"/>
          <w:b/>
          <w:bCs/>
          <w:color w:val="000000"/>
          <w:sz w:val="20"/>
          <w:szCs w:val="20"/>
        </w:rPr>
        <w:t>Appanoose</w:t>
      </w:r>
      <w:r w:rsidR="002714B2" w:rsidRPr="002714B2">
        <w:rPr>
          <w:rFonts w:ascii="Calibri" w:hAnsi="Calibri"/>
          <w:b/>
        </w:rPr>
        <w:t xml:space="preserve">, </w:t>
      </w:r>
      <w:r w:rsidRPr="002714B2">
        <w:rPr>
          <w:rFonts w:ascii="Arial" w:hAnsi="Arial" w:cs="Arial"/>
          <w:b/>
          <w:bCs/>
          <w:color w:val="000000"/>
          <w:sz w:val="20"/>
          <w:szCs w:val="20"/>
        </w:rPr>
        <w:t>Cerro Gordo</w:t>
      </w:r>
      <w:r w:rsidR="002714B2" w:rsidRPr="002714B2">
        <w:rPr>
          <w:rFonts w:ascii="Calibri" w:hAnsi="Calibri"/>
          <w:b/>
        </w:rPr>
        <w:t xml:space="preserve">, </w:t>
      </w:r>
      <w:r w:rsidRPr="002714B2">
        <w:rPr>
          <w:rFonts w:ascii="Arial" w:hAnsi="Arial" w:cs="Arial"/>
          <w:b/>
          <w:bCs/>
          <w:color w:val="000000"/>
          <w:sz w:val="20"/>
          <w:szCs w:val="20"/>
        </w:rPr>
        <w:t>Chickasaw</w:t>
      </w:r>
      <w:r w:rsidR="002714B2" w:rsidRPr="002714B2">
        <w:rPr>
          <w:rFonts w:ascii="Calibri" w:hAnsi="Calibri"/>
          <w:b/>
        </w:rPr>
        <w:t xml:space="preserve">, </w:t>
      </w:r>
      <w:r w:rsidRPr="002714B2">
        <w:rPr>
          <w:rFonts w:ascii="Arial" w:hAnsi="Arial" w:cs="Arial"/>
          <w:b/>
          <w:bCs/>
          <w:color w:val="000000"/>
          <w:sz w:val="20"/>
          <w:szCs w:val="20"/>
        </w:rPr>
        <w:t>Clarke</w:t>
      </w:r>
      <w:r w:rsidR="002714B2" w:rsidRPr="002714B2">
        <w:rPr>
          <w:rFonts w:ascii="Calibri" w:hAnsi="Calibri"/>
          <w:b/>
        </w:rPr>
        <w:t xml:space="preserve">, </w:t>
      </w:r>
      <w:r w:rsidRPr="002714B2">
        <w:rPr>
          <w:rFonts w:ascii="Arial" w:hAnsi="Arial" w:cs="Arial"/>
          <w:b/>
          <w:bCs/>
          <w:color w:val="000000"/>
          <w:sz w:val="20"/>
          <w:szCs w:val="20"/>
        </w:rPr>
        <w:t>Clayton</w:t>
      </w:r>
      <w:r w:rsidR="002714B2" w:rsidRPr="002714B2">
        <w:rPr>
          <w:rFonts w:ascii="Calibri" w:hAnsi="Calibri"/>
          <w:b/>
        </w:rPr>
        <w:t xml:space="preserve">, </w:t>
      </w:r>
      <w:r w:rsidRPr="002714B2">
        <w:rPr>
          <w:rFonts w:ascii="Arial" w:hAnsi="Arial" w:cs="Arial"/>
          <w:b/>
          <w:bCs/>
          <w:color w:val="000000"/>
          <w:sz w:val="20"/>
          <w:szCs w:val="20"/>
        </w:rPr>
        <w:t>Clinton</w:t>
      </w:r>
      <w:r w:rsidR="002714B2" w:rsidRPr="002714B2">
        <w:rPr>
          <w:rFonts w:ascii="Calibri" w:hAnsi="Calibri"/>
          <w:b/>
        </w:rPr>
        <w:t xml:space="preserve">, </w:t>
      </w:r>
      <w:r w:rsidRPr="002714B2">
        <w:rPr>
          <w:rFonts w:ascii="Arial" w:hAnsi="Arial" w:cs="Arial"/>
          <w:b/>
          <w:bCs/>
          <w:color w:val="000000"/>
          <w:sz w:val="20"/>
          <w:szCs w:val="20"/>
        </w:rPr>
        <w:t>Davis</w:t>
      </w:r>
      <w:r w:rsidR="002714B2" w:rsidRPr="002714B2">
        <w:rPr>
          <w:rFonts w:ascii="Calibri" w:hAnsi="Calibri"/>
          <w:b/>
        </w:rPr>
        <w:t xml:space="preserve">, </w:t>
      </w:r>
      <w:r w:rsidRPr="002714B2">
        <w:rPr>
          <w:rFonts w:ascii="Arial" w:hAnsi="Arial" w:cs="Arial"/>
          <w:b/>
          <w:bCs/>
          <w:color w:val="000000"/>
          <w:sz w:val="20"/>
          <w:szCs w:val="20"/>
        </w:rPr>
        <w:t>Des Moines</w:t>
      </w:r>
      <w:r w:rsidR="002714B2" w:rsidRPr="002714B2">
        <w:rPr>
          <w:rFonts w:ascii="Calibri" w:hAnsi="Calibri"/>
          <w:b/>
        </w:rPr>
        <w:t xml:space="preserve">, </w:t>
      </w:r>
      <w:r w:rsidRPr="002714B2">
        <w:rPr>
          <w:rFonts w:ascii="Arial" w:hAnsi="Arial" w:cs="Arial"/>
          <w:b/>
          <w:bCs/>
          <w:color w:val="000000"/>
          <w:sz w:val="20"/>
          <w:szCs w:val="20"/>
        </w:rPr>
        <w:t>Dickinson</w:t>
      </w:r>
      <w:r w:rsidR="002714B2" w:rsidRPr="002714B2">
        <w:rPr>
          <w:rFonts w:ascii="Calibri" w:hAnsi="Calibri"/>
          <w:b/>
        </w:rPr>
        <w:t xml:space="preserve">, </w:t>
      </w:r>
      <w:r w:rsidRPr="002714B2">
        <w:rPr>
          <w:rFonts w:ascii="Arial" w:hAnsi="Arial" w:cs="Arial"/>
          <w:b/>
          <w:bCs/>
          <w:color w:val="000000"/>
          <w:sz w:val="20"/>
          <w:szCs w:val="20"/>
        </w:rPr>
        <w:t>Fayette</w:t>
      </w:r>
      <w:r w:rsidR="002714B2" w:rsidRPr="002714B2">
        <w:rPr>
          <w:rFonts w:ascii="Calibri" w:hAnsi="Calibri"/>
          <w:b/>
        </w:rPr>
        <w:t xml:space="preserve">, </w:t>
      </w:r>
      <w:r w:rsidRPr="002714B2">
        <w:rPr>
          <w:rFonts w:ascii="Arial" w:hAnsi="Arial" w:cs="Arial"/>
          <w:b/>
          <w:bCs/>
          <w:color w:val="000000"/>
          <w:sz w:val="20"/>
          <w:szCs w:val="20"/>
        </w:rPr>
        <w:t>Floyd</w:t>
      </w:r>
      <w:r w:rsidR="002714B2" w:rsidRPr="002714B2">
        <w:rPr>
          <w:rFonts w:ascii="Calibri" w:hAnsi="Calibri"/>
          <w:b/>
        </w:rPr>
        <w:t xml:space="preserve">, </w:t>
      </w:r>
      <w:r w:rsidRPr="002714B2">
        <w:rPr>
          <w:rFonts w:ascii="Arial" w:hAnsi="Arial" w:cs="Arial"/>
          <w:b/>
          <w:bCs/>
          <w:color w:val="000000"/>
          <w:sz w:val="20"/>
          <w:szCs w:val="20"/>
        </w:rPr>
        <w:t>Guthrie</w:t>
      </w:r>
      <w:r w:rsidR="002714B2" w:rsidRPr="002714B2">
        <w:rPr>
          <w:rFonts w:ascii="Calibri" w:hAnsi="Calibri"/>
          <w:b/>
        </w:rPr>
        <w:t xml:space="preserve">, </w:t>
      </w:r>
      <w:r w:rsidRPr="002714B2">
        <w:rPr>
          <w:rFonts w:ascii="Arial" w:hAnsi="Arial" w:cs="Arial"/>
          <w:b/>
          <w:bCs/>
          <w:color w:val="000000"/>
          <w:sz w:val="20"/>
          <w:szCs w:val="20"/>
        </w:rPr>
        <w:t>Hamilton</w:t>
      </w:r>
      <w:r w:rsidR="002714B2" w:rsidRPr="002714B2">
        <w:rPr>
          <w:rFonts w:ascii="Calibri" w:hAnsi="Calibri"/>
          <w:b/>
        </w:rPr>
        <w:t xml:space="preserve">, </w:t>
      </w:r>
      <w:r w:rsidRPr="002714B2">
        <w:rPr>
          <w:rFonts w:ascii="Arial" w:hAnsi="Arial" w:cs="Arial"/>
          <w:b/>
          <w:bCs/>
          <w:color w:val="000000"/>
          <w:sz w:val="20"/>
          <w:szCs w:val="20"/>
        </w:rPr>
        <w:t>Hancock</w:t>
      </w:r>
      <w:r w:rsidR="002714B2" w:rsidRPr="002714B2">
        <w:rPr>
          <w:rFonts w:ascii="Calibri" w:hAnsi="Calibri"/>
          <w:b/>
        </w:rPr>
        <w:t xml:space="preserve">, </w:t>
      </w:r>
      <w:r w:rsidRPr="002714B2">
        <w:rPr>
          <w:rFonts w:ascii="Arial" w:hAnsi="Arial" w:cs="Arial"/>
          <w:b/>
          <w:bCs/>
          <w:color w:val="000000"/>
          <w:sz w:val="20"/>
          <w:szCs w:val="20"/>
        </w:rPr>
        <w:t>Hardin</w:t>
      </w:r>
      <w:r w:rsidR="002714B2" w:rsidRPr="002714B2">
        <w:rPr>
          <w:rFonts w:ascii="Calibri" w:hAnsi="Calibri"/>
          <w:b/>
        </w:rPr>
        <w:t xml:space="preserve">, </w:t>
      </w:r>
      <w:r w:rsidRPr="002714B2">
        <w:rPr>
          <w:rFonts w:ascii="Arial" w:hAnsi="Arial" w:cs="Arial"/>
          <w:b/>
          <w:bCs/>
          <w:color w:val="000000"/>
          <w:sz w:val="20"/>
          <w:szCs w:val="20"/>
        </w:rPr>
        <w:t>Henry</w:t>
      </w:r>
      <w:r w:rsidR="002714B2" w:rsidRPr="002714B2">
        <w:rPr>
          <w:rFonts w:ascii="Calibri" w:hAnsi="Calibri"/>
          <w:b/>
        </w:rPr>
        <w:t xml:space="preserve">, </w:t>
      </w:r>
      <w:r w:rsidRPr="002714B2">
        <w:rPr>
          <w:rFonts w:ascii="Arial" w:hAnsi="Arial" w:cs="Arial"/>
          <w:b/>
          <w:bCs/>
          <w:color w:val="000000"/>
          <w:sz w:val="20"/>
          <w:szCs w:val="20"/>
        </w:rPr>
        <w:t>Howard</w:t>
      </w:r>
      <w:r w:rsidR="002714B2" w:rsidRPr="002714B2">
        <w:rPr>
          <w:rFonts w:ascii="Calibri" w:hAnsi="Calibri"/>
          <w:b/>
        </w:rPr>
        <w:t xml:space="preserve">, </w:t>
      </w:r>
      <w:r w:rsidRPr="002714B2">
        <w:rPr>
          <w:rFonts w:ascii="Arial" w:hAnsi="Arial" w:cs="Arial"/>
          <w:b/>
          <w:bCs/>
          <w:color w:val="000000"/>
          <w:sz w:val="20"/>
          <w:szCs w:val="20"/>
        </w:rPr>
        <w:t>Jackson</w:t>
      </w:r>
      <w:r w:rsidR="002714B2" w:rsidRPr="002714B2">
        <w:rPr>
          <w:rFonts w:ascii="Calibri" w:hAnsi="Calibri"/>
          <w:b/>
        </w:rPr>
        <w:t xml:space="preserve">, </w:t>
      </w:r>
      <w:r w:rsidRPr="002714B2">
        <w:rPr>
          <w:rFonts w:ascii="Arial" w:hAnsi="Arial" w:cs="Arial"/>
          <w:b/>
          <w:bCs/>
          <w:color w:val="000000"/>
          <w:sz w:val="20"/>
          <w:szCs w:val="20"/>
        </w:rPr>
        <w:t>Jasper</w:t>
      </w:r>
      <w:r w:rsidR="002714B2" w:rsidRPr="002714B2">
        <w:rPr>
          <w:rFonts w:ascii="Calibri" w:hAnsi="Calibri"/>
          <w:b/>
        </w:rPr>
        <w:t xml:space="preserve">, </w:t>
      </w:r>
      <w:r w:rsidRPr="002714B2">
        <w:rPr>
          <w:rFonts w:ascii="Arial" w:hAnsi="Arial" w:cs="Arial"/>
          <w:b/>
          <w:bCs/>
          <w:color w:val="000000"/>
          <w:sz w:val="20"/>
          <w:szCs w:val="20"/>
        </w:rPr>
        <w:t>Jefferson</w:t>
      </w:r>
      <w:r w:rsidR="002714B2" w:rsidRPr="002714B2">
        <w:rPr>
          <w:rFonts w:ascii="Calibri" w:hAnsi="Calibri"/>
          <w:b/>
        </w:rPr>
        <w:t xml:space="preserve">, </w:t>
      </w:r>
      <w:r w:rsidRPr="002714B2">
        <w:rPr>
          <w:rFonts w:ascii="Arial" w:hAnsi="Arial" w:cs="Arial"/>
          <w:b/>
          <w:bCs/>
          <w:color w:val="000000"/>
          <w:sz w:val="20"/>
          <w:szCs w:val="20"/>
        </w:rPr>
        <w:t>Jones</w:t>
      </w:r>
      <w:r w:rsidR="002714B2" w:rsidRPr="002714B2">
        <w:rPr>
          <w:rFonts w:ascii="Calibri" w:hAnsi="Calibri"/>
          <w:b/>
        </w:rPr>
        <w:t xml:space="preserve">, </w:t>
      </w:r>
      <w:r w:rsidRPr="002714B2">
        <w:rPr>
          <w:rFonts w:ascii="Arial" w:hAnsi="Arial" w:cs="Arial"/>
          <w:b/>
          <w:bCs/>
          <w:color w:val="000000"/>
          <w:sz w:val="20"/>
          <w:szCs w:val="20"/>
        </w:rPr>
        <w:t>Keokuk</w:t>
      </w:r>
      <w:r w:rsidR="002714B2" w:rsidRPr="002714B2">
        <w:rPr>
          <w:rFonts w:ascii="Calibri" w:hAnsi="Calibri"/>
          <w:b/>
        </w:rPr>
        <w:t xml:space="preserve">, </w:t>
      </w:r>
      <w:r w:rsidRPr="002714B2">
        <w:rPr>
          <w:rFonts w:ascii="Arial" w:hAnsi="Arial" w:cs="Arial"/>
          <w:b/>
          <w:bCs/>
          <w:color w:val="000000"/>
          <w:sz w:val="20"/>
          <w:szCs w:val="20"/>
        </w:rPr>
        <w:t>Lee</w:t>
      </w:r>
      <w:r w:rsidR="002714B2" w:rsidRPr="002714B2">
        <w:rPr>
          <w:rFonts w:ascii="Calibri" w:hAnsi="Calibri"/>
          <w:b/>
        </w:rPr>
        <w:t xml:space="preserve">, </w:t>
      </w:r>
      <w:r w:rsidRPr="002714B2">
        <w:rPr>
          <w:rFonts w:ascii="Arial" w:hAnsi="Arial" w:cs="Arial"/>
          <w:b/>
          <w:bCs/>
          <w:color w:val="000000"/>
          <w:sz w:val="20"/>
          <w:szCs w:val="20"/>
        </w:rPr>
        <w:t>Louisa</w:t>
      </w:r>
      <w:r w:rsidR="002714B2" w:rsidRPr="002714B2">
        <w:rPr>
          <w:rFonts w:ascii="Calibri" w:hAnsi="Calibri"/>
          <w:b/>
        </w:rPr>
        <w:t xml:space="preserve">, </w:t>
      </w:r>
      <w:r w:rsidRPr="002714B2">
        <w:rPr>
          <w:rFonts w:ascii="Arial" w:hAnsi="Arial" w:cs="Arial"/>
          <w:b/>
          <w:bCs/>
          <w:color w:val="000000"/>
          <w:sz w:val="20"/>
          <w:szCs w:val="20"/>
        </w:rPr>
        <w:t>Madison</w:t>
      </w:r>
      <w:r w:rsidR="002714B2" w:rsidRPr="002714B2">
        <w:rPr>
          <w:rFonts w:ascii="Calibri" w:hAnsi="Calibri"/>
          <w:b/>
        </w:rPr>
        <w:t xml:space="preserve">, </w:t>
      </w:r>
      <w:r w:rsidRPr="002714B2">
        <w:rPr>
          <w:rFonts w:ascii="Arial" w:hAnsi="Arial" w:cs="Arial"/>
          <w:b/>
          <w:bCs/>
          <w:color w:val="000000"/>
          <w:sz w:val="20"/>
          <w:szCs w:val="20"/>
        </w:rPr>
        <w:t>Mahaska</w:t>
      </w:r>
      <w:r w:rsidR="002714B2" w:rsidRPr="002714B2">
        <w:rPr>
          <w:rFonts w:ascii="Calibri" w:hAnsi="Calibri"/>
          <w:b/>
        </w:rPr>
        <w:t xml:space="preserve">, </w:t>
      </w:r>
      <w:r w:rsidRPr="002714B2">
        <w:rPr>
          <w:rFonts w:ascii="Arial" w:hAnsi="Arial" w:cs="Arial"/>
          <w:b/>
          <w:bCs/>
          <w:color w:val="000000"/>
          <w:sz w:val="20"/>
          <w:szCs w:val="20"/>
        </w:rPr>
        <w:t>Marshall</w:t>
      </w:r>
      <w:r w:rsidR="002714B2" w:rsidRPr="002714B2">
        <w:rPr>
          <w:rFonts w:ascii="Calibri" w:hAnsi="Calibri"/>
          <w:b/>
        </w:rPr>
        <w:t xml:space="preserve">, </w:t>
      </w:r>
      <w:r w:rsidRPr="002714B2">
        <w:rPr>
          <w:rFonts w:ascii="Arial" w:hAnsi="Arial" w:cs="Arial"/>
          <w:b/>
          <w:bCs/>
          <w:color w:val="000000"/>
          <w:sz w:val="20"/>
          <w:szCs w:val="20"/>
        </w:rPr>
        <w:t>Monona</w:t>
      </w:r>
      <w:r w:rsidR="002714B2" w:rsidRPr="002714B2">
        <w:rPr>
          <w:rFonts w:ascii="Calibri" w:hAnsi="Calibri"/>
          <w:b/>
        </w:rPr>
        <w:t xml:space="preserve">, </w:t>
      </w:r>
      <w:r w:rsidRPr="002714B2">
        <w:rPr>
          <w:rFonts w:ascii="Arial" w:hAnsi="Arial" w:cs="Arial"/>
          <w:b/>
          <w:bCs/>
          <w:color w:val="000000"/>
          <w:sz w:val="20"/>
          <w:szCs w:val="20"/>
        </w:rPr>
        <w:t>Monroe</w:t>
      </w:r>
      <w:r w:rsidR="002714B2" w:rsidRPr="002714B2">
        <w:rPr>
          <w:rFonts w:ascii="Calibri" w:hAnsi="Calibri"/>
          <w:b/>
        </w:rPr>
        <w:t xml:space="preserve">, </w:t>
      </w:r>
      <w:r w:rsidRPr="002714B2">
        <w:rPr>
          <w:rFonts w:ascii="Arial" w:hAnsi="Arial" w:cs="Arial"/>
          <w:b/>
          <w:bCs/>
          <w:color w:val="000000"/>
          <w:sz w:val="20"/>
          <w:szCs w:val="20"/>
        </w:rPr>
        <w:t>Montgomery</w:t>
      </w:r>
      <w:r w:rsidR="002714B2" w:rsidRPr="002714B2">
        <w:rPr>
          <w:rFonts w:ascii="Calibri" w:hAnsi="Calibri"/>
          <w:b/>
        </w:rPr>
        <w:t xml:space="preserve">, </w:t>
      </w:r>
      <w:r w:rsidRPr="002714B2">
        <w:rPr>
          <w:rFonts w:ascii="Arial" w:hAnsi="Arial" w:cs="Arial"/>
          <w:b/>
          <w:bCs/>
          <w:color w:val="000000"/>
          <w:sz w:val="20"/>
          <w:szCs w:val="20"/>
        </w:rPr>
        <w:t>Muscatine</w:t>
      </w:r>
      <w:r w:rsidR="002714B2" w:rsidRPr="002714B2">
        <w:rPr>
          <w:rFonts w:ascii="Calibri" w:hAnsi="Calibri"/>
          <w:b/>
        </w:rPr>
        <w:t xml:space="preserve">, </w:t>
      </w:r>
      <w:r w:rsidRPr="002714B2">
        <w:rPr>
          <w:rFonts w:ascii="Arial" w:hAnsi="Arial" w:cs="Arial"/>
          <w:b/>
          <w:bCs/>
          <w:color w:val="000000"/>
          <w:sz w:val="20"/>
          <w:szCs w:val="20"/>
        </w:rPr>
        <w:t>Page</w:t>
      </w:r>
      <w:r w:rsidR="002714B2" w:rsidRPr="002714B2">
        <w:rPr>
          <w:rFonts w:ascii="Calibri" w:hAnsi="Calibri"/>
          <w:b/>
        </w:rPr>
        <w:t xml:space="preserve">, </w:t>
      </w:r>
      <w:r w:rsidRPr="002714B2">
        <w:rPr>
          <w:rFonts w:ascii="Arial" w:hAnsi="Arial" w:cs="Arial"/>
          <w:b/>
          <w:bCs/>
          <w:color w:val="000000"/>
          <w:sz w:val="20"/>
          <w:szCs w:val="20"/>
        </w:rPr>
        <w:t>Scott</w:t>
      </w:r>
      <w:r w:rsidR="002714B2" w:rsidRPr="002714B2">
        <w:rPr>
          <w:rFonts w:ascii="Calibri" w:hAnsi="Calibri"/>
          <w:b/>
        </w:rPr>
        <w:t xml:space="preserve">, </w:t>
      </w:r>
      <w:r w:rsidRPr="002714B2">
        <w:rPr>
          <w:rFonts w:ascii="Arial" w:hAnsi="Arial" w:cs="Arial"/>
          <w:b/>
          <w:bCs/>
          <w:color w:val="000000"/>
          <w:sz w:val="20"/>
          <w:szCs w:val="20"/>
        </w:rPr>
        <w:t>Tama</w:t>
      </w:r>
      <w:r w:rsidR="002714B2" w:rsidRPr="002714B2">
        <w:rPr>
          <w:rFonts w:ascii="Calibri" w:hAnsi="Calibri"/>
          <w:b/>
        </w:rPr>
        <w:t xml:space="preserve">, </w:t>
      </w:r>
      <w:r w:rsidRPr="002714B2">
        <w:rPr>
          <w:rFonts w:ascii="Arial" w:hAnsi="Arial" w:cs="Arial"/>
          <w:b/>
          <w:bCs/>
          <w:color w:val="000000"/>
          <w:sz w:val="20"/>
          <w:szCs w:val="20"/>
        </w:rPr>
        <w:t>Van Buren</w:t>
      </w:r>
      <w:r w:rsidR="002714B2" w:rsidRPr="002714B2">
        <w:rPr>
          <w:rFonts w:ascii="Calibri" w:hAnsi="Calibri"/>
          <w:b/>
        </w:rPr>
        <w:t xml:space="preserve">, </w:t>
      </w:r>
      <w:r w:rsidRPr="002714B2">
        <w:rPr>
          <w:rFonts w:ascii="Arial" w:hAnsi="Arial" w:cs="Arial"/>
          <w:b/>
          <w:bCs/>
          <w:color w:val="000000"/>
          <w:sz w:val="20"/>
          <w:szCs w:val="20"/>
        </w:rPr>
        <w:t>Wapello</w:t>
      </w:r>
      <w:r w:rsidR="002714B2" w:rsidRPr="002714B2">
        <w:rPr>
          <w:rFonts w:ascii="Calibri" w:hAnsi="Calibri"/>
          <w:b/>
        </w:rPr>
        <w:t xml:space="preserve">, </w:t>
      </w:r>
      <w:r w:rsidRPr="002714B2">
        <w:rPr>
          <w:rFonts w:ascii="Arial" w:hAnsi="Arial" w:cs="Arial"/>
          <w:b/>
          <w:bCs/>
          <w:color w:val="000000"/>
          <w:sz w:val="20"/>
          <w:szCs w:val="20"/>
        </w:rPr>
        <w:t>Webster</w:t>
      </w:r>
      <w:r w:rsidR="002714B2" w:rsidRPr="002714B2">
        <w:rPr>
          <w:rFonts w:ascii="Calibri" w:hAnsi="Calibri"/>
          <w:b/>
        </w:rPr>
        <w:t xml:space="preserve">, </w:t>
      </w:r>
      <w:r w:rsidRPr="002714B2">
        <w:rPr>
          <w:rFonts w:ascii="Arial" w:hAnsi="Arial" w:cs="Arial"/>
          <w:b/>
          <w:bCs/>
          <w:color w:val="000000"/>
          <w:sz w:val="20"/>
          <w:szCs w:val="20"/>
        </w:rPr>
        <w:t>Winnebago</w:t>
      </w:r>
      <w:r w:rsidR="002714B2" w:rsidRPr="002714B2">
        <w:rPr>
          <w:rFonts w:ascii="Calibri" w:hAnsi="Calibri"/>
          <w:b/>
        </w:rPr>
        <w:t xml:space="preserve">, </w:t>
      </w:r>
      <w:r w:rsidRPr="002714B2">
        <w:rPr>
          <w:rFonts w:ascii="Arial" w:hAnsi="Arial" w:cs="Arial"/>
          <w:b/>
          <w:bCs/>
          <w:color w:val="000000"/>
          <w:sz w:val="20"/>
          <w:szCs w:val="20"/>
        </w:rPr>
        <w:t>Worth</w:t>
      </w:r>
      <w:r w:rsidR="002714B2" w:rsidRPr="002714B2">
        <w:rPr>
          <w:rFonts w:ascii="Calibri" w:hAnsi="Calibri"/>
          <w:b/>
        </w:rPr>
        <w:t xml:space="preserve">, </w:t>
      </w:r>
      <w:r w:rsidRPr="002714B2">
        <w:rPr>
          <w:rFonts w:ascii="Arial" w:hAnsi="Arial" w:cs="Arial"/>
          <w:b/>
          <w:bCs/>
          <w:color w:val="000000"/>
          <w:sz w:val="20"/>
          <w:szCs w:val="20"/>
        </w:rPr>
        <w:t>Wright</w:t>
      </w:r>
      <w:r w:rsidR="002714B2">
        <w:rPr>
          <w:rFonts w:ascii="Calibri" w:hAnsi="Calibri"/>
          <w:b/>
        </w:rPr>
        <w:t>.</w:t>
      </w:r>
    </w:p>
    <w:p w:rsidR="002714B2" w:rsidRDefault="002714B2" w:rsidP="002714B2">
      <w:r>
        <w:t xml:space="preserve">While the total number of counties eligible under the bill does not quite match the existing number of </w:t>
      </w:r>
      <w:proofErr w:type="spellStart"/>
      <w:r>
        <w:t>EZ</w:t>
      </w:r>
      <w:proofErr w:type="spellEnd"/>
      <w:r>
        <w:t xml:space="preserve"> counties, the </w:t>
      </w:r>
      <w:proofErr w:type="spellStart"/>
      <w:r>
        <w:t>EZ</w:t>
      </w:r>
      <w:proofErr w:type="spellEnd"/>
      <w:r>
        <w:t xml:space="preserve"> program limits total zone area to 1% of a county’s area. Under </w:t>
      </w:r>
      <w:proofErr w:type="spellStart"/>
      <w:r>
        <w:t>HQJ’s</w:t>
      </w:r>
      <w:proofErr w:type="spellEnd"/>
      <w:r>
        <w:t xml:space="preserve"> distress criteria, when a county qualifies as distressed, the entire county is eligible for the lowered wage thresholds. Therefore, not only does the bill put much more of the state’s geography into the “distressed” category, it also greatly simplifies the administration of the </w:t>
      </w:r>
      <w:r w:rsidR="00577E07">
        <w:t>program by dispensing with the need to create, track, manage, and market the approximately 1,400 existing enterprise zones</w:t>
      </w:r>
      <w:r w:rsidR="00DC75A1">
        <w:t>, including the need for zone changes and incentive approvals at the local level</w:t>
      </w:r>
      <w:r w:rsidR="00577E07">
        <w:t>.</w:t>
      </w:r>
    </w:p>
    <w:p w:rsidR="00577E07" w:rsidRPr="00555C84" w:rsidRDefault="00577E07" w:rsidP="00577E07">
      <w:pPr>
        <w:spacing w:before="120" w:after="0"/>
        <w:outlineLvl w:val="0"/>
        <w:rPr>
          <w:b/>
          <w:sz w:val="24"/>
          <w:szCs w:val="24"/>
        </w:rPr>
      </w:pPr>
      <w:r>
        <w:rPr>
          <w:b/>
          <w:sz w:val="24"/>
          <w:szCs w:val="24"/>
        </w:rPr>
        <w:t>Division II Summary</w:t>
      </w:r>
    </w:p>
    <w:p w:rsidR="00386D88" w:rsidRDefault="00577E07" w:rsidP="00577E07">
      <w:r>
        <w:t xml:space="preserve">Division II of the bill creates a new “Workforce Housing Tax Credits” program. The </w:t>
      </w:r>
      <w:proofErr w:type="spellStart"/>
      <w:r>
        <w:t>EZ</w:t>
      </w:r>
      <w:proofErr w:type="spellEnd"/>
      <w:r>
        <w:t xml:space="preserve"> program currently provides partially transferrable income tax credits and sales tax refunds to housing developers who develop eligible housing projects in enterprise zones. The bill creates a new program that is structured in a similar way to the Housing Enterprise Zone (</w:t>
      </w:r>
      <w:proofErr w:type="spellStart"/>
      <w:r>
        <w:t>HEZ</w:t>
      </w:r>
      <w:proofErr w:type="spellEnd"/>
      <w:r>
        <w:t xml:space="preserve">) credits but with some modifications. First, the new credits are not tied to a zone. They can be developed anywhere in the state as long as the project itself meets one of four </w:t>
      </w:r>
      <w:proofErr w:type="gramStart"/>
      <w:r>
        <w:t>project</w:t>
      </w:r>
      <w:proofErr w:type="gramEnd"/>
      <w:r>
        <w:t xml:space="preserve"> based criteria:</w:t>
      </w:r>
    </w:p>
    <w:p w:rsidR="00577E07" w:rsidRDefault="00577E07" w:rsidP="00577E07">
      <w:pPr>
        <w:ind w:left="720"/>
      </w:pPr>
      <w:r>
        <w:t xml:space="preserve">1. </w:t>
      </w:r>
      <w:proofErr w:type="gramStart"/>
      <w:r>
        <w:t>It’s</w:t>
      </w:r>
      <w:proofErr w:type="gramEnd"/>
      <w:r>
        <w:t xml:space="preserve"> a </w:t>
      </w:r>
      <w:proofErr w:type="spellStart"/>
      <w:r>
        <w:t>grayfield</w:t>
      </w:r>
      <w:proofErr w:type="spellEnd"/>
      <w:r>
        <w:t xml:space="preserve"> or </w:t>
      </w:r>
      <w:proofErr w:type="spellStart"/>
      <w:r>
        <w:t>brownfield</w:t>
      </w:r>
      <w:proofErr w:type="spellEnd"/>
      <w:r>
        <w:t xml:space="preserve"> site.</w:t>
      </w:r>
    </w:p>
    <w:p w:rsidR="00577E07" w:rsidRDefault="00577E07" w:rsidP="00577E07">
      <w:pPr>
        <w:ind w:left="720"/>
      </w:pPr>
      <w:r>
        <w:t xml:space="preserve">2. </w:t>
      </w:r>
      <w:proofErr w:type="gramStart"/>
      <w:r>
        <w:t>It’s</w:t>
      </w:r>
      <w:proofErr w:type="gramEnd"/>
      <w:r>
        <w:t xml:space="preserve"> the repair or rehab of dilapidated existing housing stock.</w:t>
      </w:r>
    </w:p>
    <w:p w:rsidR="00577E07" w:rsidRDefault="00577E07" w:rsidP="00577E07">
      <w:pPr>
        <w:ind w:left="720"/>
      </w:pPr>
      <w:r>
        <w:t xml:space="preserve">3. </w:t>
      </w:r>
      <w:proofErr w:type="gramStart"/>
      <w:r>
        <w:t>It’s</w:t>
      </w:r>
      <w:proofErr w:type="gramEnd"/>
      <w:r>
        <w:t xml:space="preserve"> an upper story project.</w:t>
      </w:r>
    </w:p>
    <w:p w:rsidR="00577E07" w:rsidRDefault="00577E07" w:rsidP="00577E07">
      <w:pPr>
        <w:ind w:left="720"/>
      </w:pPr>
      <w:r>
        <w:t xml:space="preserve">4. </w:t>
      </w:r>
      <w:proofErr w:type="gramStart"/>
      <w:r>
        <w:t>It’s</w:t>
      </w:r>
      <w:proofErr w:type="gramEnd"/>
      <w:r>
        <w:t xml:space="preserve"> new construction in a community with demonstrated workforce housing needs.</w:t>
      </w:r>
    </w:p>
    <w:p w:rsidR="00577E07" w:rsidRDefault="00577E07" w:rsidP="00577E07">
      <w:r>
        <w:t xml:space="preserve">Second, like the </w:t>
      </w:r>
      <w:proofErr w:type="spellStart"/>
      <w:r>
        <w:t>HEZ</w:t>
      </w:r>
      <w:proofErr w:type="spellEnd"/>
      <w:r>
        <w:t xml:space="preserve"> credits, the new credits are available for housing projects that include four or more single family dwelling units or three or more units of a multi-family dwelling, but they are also available in an upper story project that consists of two or more dwelling units.</w:t>
      </w:r>
    </w:p>
    <w:p w:rsidR="00DC75A1" w:rsidRDefault="00DC75A1" w:rsidP="00577E07">
      <w:r>
        <w:t xml:space="preserve">Third, the new credits dispense with the local housing commissions and the need to submit information to such commissions. Instead, application materials are handled only and directly with IEDA and a standard application, project registration, and contract issuance process is created within IEDA so that the new credits can be administered in a manner similar to other existing IEDA credit programs such as the Brownfield and </w:t>
      </w:r>
      <w:proofErr w:type="spellStart"/>
      <w:r>
        <w:t>Grayfield</w:t>
      </w:r>
      <w:proofErr w:type="spellEnd"/>
      <w:r>
        <w:t xml:space="preserve"> Redevelopment Tax Credits program.</w:t>
      </w:r>
    </w:p>
    <w:p w:rsidR="00DC75A1" w:rsidRDefault="00DC75A1" w:rsidP="00577E07">
      <w:r>
        <w:t xml:space="preserve">Fourth, the current </w:t>
      </w:r>
      <w:proofErr w:type="spellStart"/>
      <w:r>
        <w:t>HEZ</w:t>
      </w:r>
      <w:proofErr w:type="spellEnd"/>
      <w:r>
        <w:t xml:space="preserve"> credits allow incentives on the first $140,000 of per unit value. The bill makes the first $150,000 of investment eligible.</w:t>
      </w:r>
    </w:p>
    <w:p w:rsidR="00DC75A1" w:rsidRDefault="00DC75A1" w:rsidP="00577E07">
      <w:r>
        <w:t>Fifth, the bill puts per unit cost caps on the credits to ensure they are targeted at middle-income housing. Projects with per unit cost up to $200,000 are eligible, unless the project is a historic preservation project in which case it is eligible up to $250,000 per unit.</w:t>
      </w:r>
    </w:p>
    <w:p w:rsidR="00DC75A1" w:rsidRDefault="00DC75A1" w:rsidP="00577E07">
      <w:r>
        <w:lastRenderedPageBreak/>
        <w:t xml:space="preserve">Sixth, the bill simplifies the new </w:t>
      </w:r>
      <w:r w:rsidR="009E4AB0">
        <w:t xml:space="preserve">credits in number of ways. </w:t>
      </w:r>
      <w:proofErr w:type="gramStart"/>
      <w:r w:rsidR="009E4AB0">
        <w:t>First,</w:t>
      </w:r>
      <w:r>
        <w:t xml:space="preserve"> by making all of the issued credits fully transferrable rather than just a few of them.</w:t>
      </w:r>
      <w:proofErr w:type="gramEnd"/>
      <w:r>
        <w:t xml:space="preserve"> This will ease administration by both IEDA and the department of revenue which have been separately tracking a </w:t>
      </w:r>
      <w:proofErr w:type="spellStart"/>
      <w:r>
        <w:t>subcap</w:t>
      </w:r>
      <w:proofErr w:type="spellEnd"/>
      <w:r>
        <w:t xml:space="preserve"> of transferrable credits under the program. Because this makes the financing more marketable, the bill also dispenses with certain IRS section 42 credit designations.</w:t>
      </w:r>
      <w:r w:rsidR="009E4AB0">
        <w:t xml:space="preserve"> Second, because the credit amounts issued under the program are relatively small and are no longer linked to </w:t>
      </w:r>
      <w:proofErr w:type="spellStart"/>
      <w:r w:rsidR="009E4AB0">
        <w:t>HQJ</w:t>
      </w:r>
      <w:proofErr w:type="spellEnd"/>
      <w:r w:rsidR="009E4AB0">
        <w:t xml:space="preserve"> or </w:t>
      </w:r>
      <w:proofErr w:type="spellStart"/>
      <w:r w:rsidR="009E4AB0">
        <w:t>EZ</w:t>
      </w:r>
      <w:proofErr w:type="spellEnd"/>
      <w:r w:rsidR="009E4AB0">
        <w:t xml:space="preserve"> program requirements, the bill sets the </w:t>
      </w:r>
      <w:proofErr w:type="spellStart"/>
      <w:r w:rsidR="009E4AB0">
        <w:t>carryforward</w:t>
      </w:r>
      <w:proofErr w:type="spellEnd"/>
      <w:r w:rsidR="009E4AB0">
        <w:t xml:space="preserve"> period on the tax credits at 5 years.</w:t>
      </w:r>
    </w:p>
    <w:p w:rsidR="00A321C1" w:rsidRDefault="00A321C1" w:rsidP="00577E07">
      <w:r>
        <w:t xml:space="preserve">Finally, the new credits are capped at no more than $1 million in benefits per recipient and no more than $20 million in the aggregate. The program is also placed under </w:t>
      </w:r>
      <w:proofErr w:type="spellStart"/>
      <w:r>
        <w:t>IEDA’s</w:t>
      </w:r>
      <w:proofErr w:type="spellEnd"/>
      <w:r>
        <w:t xml:space="preserve"> maximum aggregate tax credit cap.</w:t>
      </w:r>
    </w:p>
    <w:p w:rsidR="00312FFE" w:rsidRPr="00555C84" w:rsidRDefault="00312FFE" w:rsidP="00312FFE">
      <w:pPr>
        <w:spacing w:before="120" w:after="0"/>
        <w:outlineLvl w:val="0"/>
        <w:rPr>
          <w:b/>
          <w:sz w:val="24"/>
          <w:szCs w:val="24"/>
        </w:rPr>
      </w:pPr>
      <w:r>
        <w:rPr>
          <w:b/>
          <w:sz w:val="24"/>
          <w:szCs w:val="24"/>
        </w:rPr>
        <w:t>Division III Summary</w:t>
      </w:r>
    </w:p>
    <w:p w:rsidR="004E178B" w:rsidRDefault="00312FFE" w:rsidP="00312FFE">
      <w:r>
        <w:t xml:space="preserve">Division III of the bill provides for the wind-down of the existing </w:t>
      </w:r>
      <w:proofErr w:type="spellStart"/>
      <w:r>
        <w:t>EZ</w:t>
      </w:r>
      <w:proofErr w:type="spellEnd"/>
      <w:r>
        <w:t xml:space="preserve"> program. The old code sections are eliminated, zone changes and new agreements are ended, and existing agreements are protected.</w:t>
      </w:r>
    </w:p>
    <w:p w:rsidR="0031439C" w:rsidRDefault="0031439C" w:rsidP="004E178B">
      <w:pPr>
        <w:spacing w:after="0"/>
        <w:jc w:val="center"/>
        <w:outlineLvl w:val="0"/>
        <w:rPr>
          <w:b/>
          <w:sz w:val="32"/>
          <w:szCs w:val="32"/>
        </w:rPr>
      </w:pPr>
      <w:r>
        <w:rPr>
          <w:b/>
          <w:sz w:val="32"/>
          <w:szCs w:val="32"/>
        </w:rPr>
        <w:t>Program Background Information</w:t>
      </w:r>
    </w:p>
    <w:p w:rsidR="0031439C" w:rsidRDefault="0031439C" w:rsidP="0031439C">
      <w:r>
        <w:t xml:space="preserve">The above portion of this document describes the details of the legislative proposal. The remainder of the document contains </w:t>
      </w:r>
      <w:proofErr w:type="spellStart"/>
      <w:r>
        <w:t>IEDA’s</w:t>
      </w:r>
      <w:proofErr w:type="spellEnd"/>
      <w:r>
        <w:t xml:space="preserve"> frank assessment of the current program and a comparison of the capabilities of both </w:t>
      </w:r>
      <w:proofErr w:type="spellStart"/>
      <w:r>
        <w:t>EZ</w:t>
      </w:r>
      <w:proofErr w:type="spellEnd"/>
      <w:r>
        <w:t xml:space="preserve"> and </w:t>
      </w:r>
      <w:proofErr w:type="spellStart"/>
      <w:r>
        <w:t>HQJ</w:t>
      </w:r>
      <w:proofErr w:type="spellEnd"/>
      <w:r>
        <w:t xml:space="preserve">. </w:t>
      </w:r>
    </w:p>
    <w:p w:rsidR="0031439C" w:rsidRPr="00C8690E" w:rsidRDefault="0031439C" w:rsidP="0031439C">
      <w:pPr>
        <w:rPr>
          <w:b/>
          <w:sz w:val="24"/>
          <w:szCs w:val="24"/>
        </w:rPr>
      </w:pPr>
      <w:proofErr w:type="spellStart"/>
      <w:r>
        <w:rPr>
          <w:b/>
          <w:sz w:val="24"/>
          <w:szCs w:val="24"/>
        </w:rPr>
        <w:t>EZ</w:t>
      </w:r>
      <w:proofErr w:type="spellEnd"/>
      <w:r>
        <w:rPr>
          <w:b/>
          <w:sz w:val="24"/>
          <w:szCs w:val="24"/>
        </w:rPr>
        <w:t xml:space="preserve"> Program Assessment</w:t>
      </w:r>
    </w:p>
    <w:p w:rsidR="00D86A93" w:rsidRDefault="00DB45D8" w:rsidP="00D86A93">
      <w:r>
        <w:t xml:space="preserve">Despite its strengths, </w:t>
      </w:r>
      <w:proofErr w:type="spellStart"/>
      <w:r w:rsidR="00C70C13">
        <w:t>EZ</w:t>
      </w:r>
      <w:proofErr w:type="spellEnd"/>
      <w:r w:rsidR="00C70C13">
        <w:t xml:space="preserve"> also</w:t>
      </w:r>
      <w:r w:rsidR="00B942F0">
        <w:t xml:space="preserve"> </w:t>
      </w:r>
      <w:r w:rsidR="00D86A93">
        <w:t xml:space="preserve">has a number of </w:t>
      </w:r>
      <w:r w:rsidR="00E466B2">
        <w:t>weaknesses</w:t>
      </w:r>
      <w:r w:rsidR="00D86A93">
        <w:t xml:space="preserve"> that </w:t>
      </w:r>
      <w:r w:rsidR="00C70C13">
        <w:t>IEDA</w:t>
      </w:r>
      <w:r w:rsidR="00D86A93">
        <w:t xml:space="preserve"> believe</w:t>
      </w:r>
      <w:r w:rsidR="00C70C13">
        <w:t>s</w:t>
      </w:r>
      <w:r w:rsidR="00D86A93">
        <w:t xml:space="preserve"> </w:t>
      </w:r>
      <w:r w:rsidR="0031439C">
        <w:t>are</w:t>
      </w:r>
      <w:r w:rsidR="00D86A93">
        <w:t xml:space="preserve"> addressed</w:t>
      </w:r>
      <w:r w:rsidR="0031439C">
        <w:t xml:space="preserve"> by the above legislative proposal. </w:t>
      </w:r>
      <w:r w:rsidR="0063741F">
        <w:t xml:space="preserve">The following </w:t>
      </w:r>
      <w:r w:rsidR="0031439C">
        <w:t xml:space="preserve">items </w:t>
      </w:r>
      <w:r w:rsidR="0063741F">
        <w:t xml:space="preserve">are </w:t>
      </w:r>
      <w:r w:rsidR="0031439C">
        <w:t xml:space="preserve">some of </w:t>
      </w:r>
      <w:r w:rsidR="0063741F">
        <w:t>the program weaknesses identified by IEDA:</w:t>
      </w:r>
    </w:p>
    <w:p w:rsidR="00431BC6" w:rsidRPr="00C8690E" w:rsidRDefault="00EB3084" w:rsidP="00431BC6">
      <w:pPr>
        <w:rPr>
          <w:b/>
          <w:sz w:val="24"/>
          <w:szCs w:val="24"/>
        </w:rPr>
      </w:pPr>
      <w:r>
        <w:rPr>
          <w:b/>
          <w:sz w:val="24"/>
          <w:szCs w:val="24"/>
        </w:rPr>
        <w:t xml:space="preserve">The </w:t>
      </w:r>
      <w:r w:rsidR="00E466B2">
        <w:rPr>
          <w:b/>
          <w:sz w:val="24"/>
          <w:szCs w:val="24"/>
        </w:rPr>
        <w:t>process</w:t>
      </w:r>
      <w:r>
        <w:rPr>
          <w:b/>
          <w:sz w:val="24"/>
          <w:szCs w:val="24"/>
        </w:rPr>
        <w:t xml:space="preserve"> for c</w:t>
      </w:r>
      <w:r w:rsidR="00431BC6" w:rsidRPr="00C8690E">
        <w:rPr>
          <w:b/>
          <w:sz w:val="24"/>
          <w:szCs w:val="24"/>
        </w:rPr>
        <w:t xml:space="preserve">ertification </w:t>
      </w:r>
      <w:r>
        <w:rPr>
          <w:b/>
          <w:sz w:val="24"/>
          <w:szCs w:val="24"/>
        </w:rPr>
        <w:t xml:space="preserve">and management </w:t>
      </w:r>
      <w:r w:rsidR="00431BC6" w:rsidRPr="00C8690E">
        <w:rPr>
          <w:b/>
          <w:sz w:val="24"/>
          <w:szCs w:val="24"/>
        </w:rPr>
        <w:t>of zones is complex</w:t>
      </w:r>
    </w:p>
    <w:p w:rsidR="00DB45D8" w:rsidRDefault="00C70C13" w:rsidP="00431BC6">
      <w:r>
        <w:t>The process of designating and certifying zones is cumbersome</w:t>
      </w:r>
      <w:r w:rsidR="00DB45D8">
        <w:t xml:space="preserve"> and inconsistent, and it involves many decision-makers. For example:</w:t>
      </w:r>
    </w:p>
    <w:p w:rsidR="00DB45D8" w:rsidRDefault="00DB45D8" w:rsidP="00DB45D8">
      <w:pPr>
        <w:pStyle w:val="ListParagraph"/>
        <w:numPr>
          <w:ilvl w:val="0"/>
          <w:numId w:val="3"/>
        </w:numPr>
      </w:pPr>
      <w:r>
        <w:t>C</w:t>
      </w:r>
      <w:r w:rsidR="00C70C13">
        <w:t xml:space="preserve">ities and counties have different </w:t>
      </w:r>
      <w:r>
        <w:t xml:space="preserve">designation </w:t>
      </w:r>
      <w:r w:rsidR="00043910">
        <w:t>requirements. W</w:t>
      </w:r>
      <w:r w:rsidR="00C70C13">
        <w:t>hile they both use “distress criteria” in order to make designation</w:t>
      </w:r>
      <w:r w:rsidR="00EB3084">
        <w:t>s</w:t>
      </w:r>
      <w:r w:rsidR="00C70C13">
        <w:t xml:space="preserve">, </w:t>
      </w:r>
      <w:r>
        <w:t xml:space="preserve">the </w:t>
      </w:r>
      <w:r w:rsidR="00C70C13">
        <w:t xml:space="preserve">county criteria </w:t>
      </w:r>
      <w:r w:rsidR="00E466B2">
        <w:t>are</w:t>
      </w:r>
      <w:r w:rsidR="00C70C13">
        <w:t xml:space="preserve"> different than </w:t>
      </w:r>
      <w:r>
        <w:t xml:space="preserve">the </w:t>
      </w:r>
      <w:r w:rsidR="00C70C13">
        <w:t>city criteria</w:t>
      </w:r>
      <w:r w:rsidR="00E466B2">
        <w:t>. In addition,</w:t>
      </w:r>
      <w:r w:rsidR="00C70C13">
        <w:t xml:space="preserve"> cities actually have </w:t>
      </w:r>
      <w:r w:rsidR="00EB3084">
        <w:t>two alternative s</w:t>
      </w:r>
      <w:r>
        <w:t xml:space="preserve">ets of criteria to </w:t>
      </w:r>
      <w:r w:rsidR="00E466B2">
        <w:t>use for designations</w:t>
      </w:r>
      <w:r>
        <w:t>.</w:t>
      </w:r>
    </w:p>
    <w:p w:rsidR="00043910" w:rsidRDefault="00043910" w:rsidP="00043910">
      <w:pPr>
        <w:pStyle w:val="ListParagraph"/>
        <w:numPr>
          <w:ilvl w:val="0"/>
          <w:numId w:val="3"/>
        </w:numPr>
      </w:pPr>
      <w:r>
        <w:t xml:space="preserve">Incentives are </w:t>
      </w:r>
      <w:r w:rsidR="00E466B2">
        <w:t>restricted</w:t>
      </w:r>
      <w:r>
        <w:t xml:space="preserve"> to projects </w:t>
      </w:r>
      <w:r w:rsidR="00E466B2">
        <w:t xml:space="preserve">located </w:t>
      </w:r>
      <w:r>
        <w:t xml:space="preserve">in zones, but the zones themselves are limited in geographic size, resulting in the designation of many small zones in order to drive benefits to the desired projects. </w:t>
      </w:r>
    </w:p>
    <w:p w:rsidR="00E466B2" w:rsidRDefault="00E466B2" w:rsidP="00043910">
      <w:pPr>
        <w:pStyle w:val="ListParagraph"/>
        <w:numPr>
          <w:ilvl w:val="0"/>
          <w:numId w:val="3"/>
        </w:numPr>
      </w:pPr>
      <w:r>
        <w:t>Zones are 10 year designations with 10 renewals, meaning that zones rarely roll off the list even in areas where distress criteria have improved.</w:t>
      </w:r>
    </w:p>
    <w:p w:rsidR="00066855" w:rsidRDefault="00043910" w:rsidP="00043910">
      <w:pPr>
        <w:pStyle w:val="ListParagraph"/>
        <w:numPr>
          <w:ilvl w:val="0"/>
          <w:numId w:val="3"/>
        </w:numPr>
      </w:pPr>
      <w:r>
        <w:t xml:space="preserve">The caps on total area cause many </w:t>
      </w:r>
      <w:r w:rsidR="00CC6870">
        <w:t>communities</w:t>
      </w:r>
      <w:r>
        <w:t xml:space="preserve"> to amend existing </w:t>
      </w:r>
      <w:r w:rsidR="00CC6870">
        <w:t xml:space="preserve">zone </w:t>
      </w:r>
      <w:r>
        <w:t xml:space="preserve">boundaries in order to accommodate new projects. </w:t>
      </w:r>
    </w:p>
    <w:p w:rsidR="00043910" w:rsidRDefault="00043910" w:rsidP="00043910">
      <w:pPr>
        <w:pStyle w:val="ListParagraph"/>
        <w:numPr>
          <w:ilvl w:val="0"/>
          <w:numId w:val="3"/>
        </w:numPr>
      </w:pPr>
      <w:r>
        <w:t xml:space="preserve">Each time </w:t>
      </w:r>
      <w:r w:rsidR="00066855">
        <w:t>a zone is amended</w:t>
      </w:r>
      <w:r>
        <w:t xml:space="preserve">, compliance with the applicable distress criteria must be reassessed and new approvals must be obtained at both the state and local levels. </w:t>
      </w:r>
    </w:p>
    <w:p w:rsidR="00DB45D8" w:rsidRDefault="00DB45D8" w:rsidP="00DB45D8">
      <w:pPr>
        <w:pStyle w:val="ListParagraph"/>
        <w:numPr>
          <w:ilvl w:val="0"/>
          <w:numId w:val="3"/>
        </w:numPr>
      </w:pPr>
      <w:r>
        <w:t>W</w:t>
      </w:r>
      <w:r w:rsidR="00EB3084">
        <w:t xml:space="preserve">hile the incentives are </w:t>
      </w:r>
      <w:r w:rsidR="00043910">
        <w:t>targeted to businesses in order</w:t>
      </w:r>
      <w:r w:rsidR="00EB3084">
        <w:t xml:space="preserve"> to spur job creation, none of the zone certification </w:t>
      </w:r>
      <w:r>
        <w:t>criteria</w:t>
      </w:r>
      <w:r w:rsidR="00EB3084">
        <w:t xml:space="preserve"> </w:t>
      </w:r>
      <w:r>
        <w:t>directly incorporate high unemployment.</w:t>
      </w:r>
    </w:p>
    <w:p w:rsidR="002E0EDD" w:rsidRPr="00C8690E" w:rsidRDefault="002E0EDD" w:rsidP="002E0EDD">
      <w:pPr>
        <w:rPr>
          <w:b/>
          <w:sz w:val="24"/>
          <w:szCs w:val="24"/>
        </w:rPr>
      </w:pPr>
      <w:r>
        <w:rPr>
          <w:b/>
          <w:sz w:val="24"/>
          <w:szCs w:val="24"/>
        </w:rPr>
        <w:t xml:space="preserve">The </w:t>
      </w:r>
      <w:r w:rsidR="00574C31">
        <w:rPr>
          <w:b/>
          <w:sz w:val="24"/>
          <w:szCs w:val="24"/>
        </w:rPr>
        <w:t xml:space="preserve">policy </w:t>
      </w:r>
      <w:r>
        <w:rPr>
          <w:b/>
          <w:sz w:val="24"/>
          <w:szCs w:val="24"/>
        </w:rPr>
        <w:t>goals of zone</w:t>
      </w:r>
      <w:r w:rsidR="00574C31">
        <w:rPr>
          <w:b/>
          <w:sz w:val="24"/>
          <w:szCs w:val="24"/>
        </w:rPr>
        <w:t xml:space="preserve"> designation </w:t>
      </w:r>
      <w:r w:rsidR="000E0542">
        <w:rPr>
          <w:b/>
          <w:sz w:val="24"/>
          <w:szCs w:val="24"/>
        </w:rPr>
        <w:t>are not closely aligned with program design</w:t>
      </w:r>
    </w:p>
    <w:p w:rsidR="00574C31" w:rsidRDefault="002E0EDD" w:rsidP="00431BC6">
      <w:r>
        <w:t xml:space="preserve">Despite the fact that </w:t>
      </w:r>
      <w:r w:rsidR="00574C31">
        <w:t xml:space="preserve">the </w:t>
      </w:r>
      <w:r>
        <w:t>zone designation criteria are</w:t>
      </w:r>
      <w:r w:rsidR="007C3365">
        <w:t xml:space="preserve"> based on a number of holistic </w:t>
      </w:r>
      <w:r>
        <w:t>measures</w:t>
      </w:r>
      <w:r w:rsidR="0016380D">
        <w:t xml:space="preserve"> of distress</w:t>
      </w:r>
      <w:r>
        <w:t>, program benefits are exclusively tax-based incentive</w:t>
      </w:r>
      <w:r w:rsidR="007C3365">
        <w:t xml:space="preserve">s for non-retail </w:t>
      </w:r>
      <w:r>
        <w:t xml:space="preserve">businesses. </w:t>
      </w:r>
      <w:r w:rsidR="007C3365">
        <w:t xml:space="preserve">In other words, </w:t>
      </w:r>
      <w:r w:rsidR="0016380D">
        <w:t>communities</w:t>
      </w:r>
      <w:r w:rsidR="007C3365">
        <w:t xml:space="preserve"> </w:t>
      </w:r>
      <w:r w:rsidR="007C3365">
        <w:lastRenderedPageBreak/>
        <w:t xml:space="preserve">designate zones based on broad measures of distress, but </w:t>
      </w:r>
      <w:r w:rsidR="0016380D">
        <w:t xml:space="preserve">the program isn’t very good at delivering </w:t>
      </w:r>
      <w:r w:rsidR="007C3365">
        <w:t xml:space="preserve">benefits </w:t>
      </w:r>
      <w:r w:rsidR="0016380D">
        <w:t>that</w:t>
      </w:r>
      <w:r w:rsidR="007C3365">
        <w:t xml:space="preserve"> directly </w:t>
      </w:r>
      <w:r w:rsidR="0016380D">
        <w:t>target</w:t>
      </w:r>
      <w:r w:rsidR="007C3365">
        <w:t xml:space="preserve"> the criteria. </w:t>
      </w:r>
      <w:r w:rsidR="00574C31">
        <w:t>For example:</w:t>
      </w:r>
    </w:p>
    <w:p w:rsidR="00574C31" w:rsidRDefault="00574C31" w:rsidP="00574C31">
      <w:pPr>
        <w:pStyle w:val="ListParagraph"/>
        <w:numPr>
          <w:ilvl w:val="0"/>
          <w:numId w:val="4"/>
        </w:numPr>
      </w:pPr>
      <w:r>
        <w:t xml:space="preserve">Counties can designate zones if the </w:t>
      </w:r>
      <w:r w:rsidRPr="00574C31">
        <w:rPr>
          <w:i/>
        </w:rPr>
        <w:t>county</w:t>
      </w:r>
      <w:r>
        <w:t xml:space="preserve"> meets certain county-level criteria, but the </w:t>
      </w:r>
      <w:r w:rsidRPr="00574C31">
        <w:rPr>
          <w:i/>
        </w:rPr>
        <w:t>zones</w:t>
      </w:r>
      <w:r>
        <w:t xml:space="preserve"> themselves don’t have to meet the criteria.</w:t>
      </w:r>
    </w:p>
    <w:p w:rsidR="00574C31" w:rsidRDefault="00F96071" w:rsidP="00574C31">
      <w:pPr>
        <w:pStyle w:val="ListParagraph"/>
        <w:numPr>
          <w:ilvl w:val="0"/>
          <w:numId w:val="4"/>
        </w:numPr>
      </w:pPr>
      <w:r>
        <w:t>Zones can be designated based on low wages</w:t>
      </w:r>
      <w:r w:rsidR="0016380D">
        <w:t xml:space="preserve"> and poverty measures</w:t>
      </w:r>
      <w:r>
        <w:t>, but the wage threshold is only 90% and it doesn’t increase over the term of the contract.</w:t>
      </w:r>
      <w:r w:rsidR="00574C31">
        <w:t xml:space="preserve"> </w:t>
      </w:r>
    </w:p>
    <w:p w:rsidR="00F96071" w:rsidRDefault="00574C31" w:rsidP="00574C31">
      <w:pPr>
        <w:pStyle w:val="ListParagraph"/>
        <w:numPr>
          <w:ilvl w:val="0"/>
          <w:numId w:val="4"/>
        </w:numPr>
      </w:pPr>
      <w:r>
        <w:t xml:space="preserve">Zones can be designated based on </w:t>
      </w:r>
      <w:r w:rsidR="00C94803">
        <w:t xml:space="preserve">vacant housing and county </w:t>
      </w:r>
      <w:r>
        <w:t xml:space="preserve">poverty rates, but nothing in the program </w:t>
      </w:r>
      <w:r w:rsidRPr="0016380D">
        <w:rPr>
          <w:i/>
        </w:rPr>
        <w:t>requires</w:t>
      </w:r>
      <w:r>
        <w:t xml:space="preserve"> that </w:t>
      </w:r>
      <w:r w:rsidR="0063741F">
        <w:t>an eligible</w:t>
      </w:r>
      <w:r>
        <w:t xml:space="preserve"> business </w:t>
      </w:r>
      <w:r w:rsidR="0016380D">
        <w:t xml:space="preserve">actually </w:t>
      </w:r>
      <w:r>
        <w:t>hire residents of the zone or even of the county.</w:t>
      </w:r>
    </w:p>
    <w:p w:rsidR="00C94803" w:rsidRDefault="00C94803" w:rsidP="00C94803">
      <w:pPr>
        <w:pStyle w:val="ListParagraph"/>
        <w:numPr>
          <w:ilvl w:val="0"/>
          <w:numId w:val="4"/>
        </w:numPr>
      </w:pPr>
      <w:r>
        <w:t>Zones can be designated based on population loss and aging populations</w:t>
      </w:r>
      <w:r w:rsidR="0063741F">
        <w:t>, but</w:t>
      </w:r>
      <w:r>
        <w:t xml:space="preserve"> the program has no </w:t>
      </w:r>
      <w:r w:rsidR="0063741F">
        <w:t>assistance</w:t>
      </w:r>
      <w:r>
        <w:t xml:space="preserve"> </w:t>
      </w:r>
      <w:r w:rsidR="0016380D">
        <w:t xml:space="preserve">targeted </w:t>
      </w:r>
      <w:r w:rsidR="007C1E74">
        <w:t xml:space="preserve">directly </w:t>
      </w:r>
      <w:r w:rsidR="0016380D">
        <w:t>at</w:t>
      </w:r>
      <w:r>
        <w:t xml:space="preserve"> </w:t>
      </w:r>
      <w:r w:rsidR="007C1E74">
        <w:t>labor</w:t>
      </w:r>
      <w:r w:rsidR="0063741F">
        <w:t xml:space="preserve"> </w:t>
      </w:r>
      <w:r w:rsidR="007C1E74">
        <w:t>issues</w:t>
      </w:r>
      <w:r>
        <w:t>.</w:t>
      </w:r>
      <w:r w:rsidR="0016380D">
        <w:t xml:space="preserve"> The program offers housing tax credits </w:t>
      </w:r>
      <w:r w:rsidR="007C1E74">
        <w:t>and 260E training</w:t>
      </w:r>
      <w:r w:rsidR="0016380D">
        <w:t>, but it’s unclear to what extent they actually counteract popul</w:t>
      </w:r>
      <w:r w:rsidR="007C1E74">
        <w:t>ation loss and workforce shortages.</w:t>
      </w:r>
    </w:p>
    <w:p w:rsidR="00C94803" w:rsidRDefault="00C94803" w:rsidP="00574C31">
      <w:pPr>
        <w:pStyle w:val="ListParagraph"/>
        <w:numPr>
          <w:ilvl w:val="0"/>
          <w:numId w:val="4"/>
        </w:numPr>
      </w:pPr>
      <w:r>
        <w:t xml:space="preserve">Zones can be designated based on blighted conditions or property valuation losses, but program benefits are limited to business </w:t>
      </w:r>
      <w:r w:rsidR="0016380D">
        <w:t>incentives</w:t>
      </w:r>
      <w:r>
        <w:t xml:space="preserve">. There is no assistance for brownfield clean-up. No assistance for historic preservation. No assistance for community development. </w:t>
      </w:r>
      <w:r w:rsidR="00A11761">
        <w:t xml:space="preserve">And there are no tie-ins to </w:t>
      </w:r>
      <w:r w:rsidR="0063741F">
        <w:t xml:space="preserve">the various state </w:t>
      </w:r>
      <w:r w:rsidR="00A11761">
        <w:t>programs that do</w:t>
      </w:r>
      <w:r w:rsidR="0016380D">
        <w:t xml:space="preserve"> provide such assistance</w:t>
      </w:r>
      <w:r w:rsidR="00A11761">
        <w:t>.</w:t>
      </w:r>
    </w:p>
    <w:p w:rsidR="00C94803" w:rsidRDefault="00C94803" w:rsidP="00574C31">
      <w:pPr>
        <w:pStyle w:val="ListParagraph"/>
        <w:numPr>
          <w:ilvl w:val="0"/>
          <w:numId w:val="4"/>
        </w:numPr>
      </w:pPr>
      <w:r>
        <w:t xml:space="preserve">Cities can designate “transportation </w:t>
      </w:r>
      <w:r w:rsidR="0016380D">
        <w:t xml:space="preserve">enterprise </w:t>
      </w:r>
      <w:r>
        <w:t>zones” based on certain infrastructure criteria. But no assistance is available to local governments for building or repairing public infrastructure.</w:t>
      </w:r>
    </w:p>
    <w:p w:rsidR="000E0542" w:rsidRDefault="000E0542" w:rsidP="000E0542">
      <w:pPr>
        <w:pStyle w:val="ListParagraph"/>
        <w:numPr>
          <w:ilvl w:val="0"/>
          <w:numId w:val="3"/>
        </w:numPr>
      </w:pPr>
      <w:r>
        <w:t>In urban areas, residential areas often qualify as distressed, but are not compatible with industrial uses creating further asymmetry between the goals of zone designation and program benefits structure.</w:t>
      </w:r>
    </w:p>
    <w:p w:rsidR="007C3365" w:rsidRDefault="00054E36" w:rsidP="00574C31">
      <w:pPr>
        <w:pStyle w:val="ListParagraph"/>
        <w:numPr>
          <w:ilvl w:val="0"/>
          <w:numId w:val="4"/>
        </w:numPr>
      </w:pPr>
      <w:r>
        <w:t xml:space="preserve"> </w:t>
      </w:r>
      <w:r w:rsidR="00C94803">
        <w:t>All incentives flow to businesses and none to nonprofits or local governments</w:t>
      </w:r>
      <w:r w:rsidR="007C3365">
        <w:t xml:space="preserve">, leaving all non-employment </w:t>
      </w:r>
      <w:r w:rsidR="00FD1CAC">
        <w:t>development</w:t>
      </w:r>
      <w:r w:rsidR="007C3365">
        <w:t xml:space="preserve"> needs unmet</w:t>
      </w:r>
      <w:r>
        <w:t>.</w:t>
      </w:r>
    </w:p>
    <w:p w:rsidR="00431BC6" w:rsidRDefault="00054E36" w:rsidP="007C3365">
      <w:pPr>
        <w:pStyle w:val="ListParagraph"/>
        <w:ind w:left="0"/>
      </w:pPr>
      <w:r>
        <w:t xml:space="preserve">In </w:t>
      </w:r>
      <w:r w:rsidR="007C3365">
        <w:t>short</w:t>
      </w:r>
      <w:r>
        <w:t xml:space="preserve">, the </w:t>
      </w:r>
      <w:r w:rsidR="007C1E74">
        <w:t xml:space="preserve">EZ </w:t>
      </w:r>
      <w:r>
        <w:t xml:space="preserve">program </w:t>
      </w:r>
      <w:r w:rsidR="007C1E74">
        <w:t>seems</w:t>
      </w:r>
      <w:r w:rsidR="007C3365">
        <w:t xml:space="preserve"> focused</w:t>
      </w:r>
      <w:r>
        <w:t xml:space="preserve"> primarily on job creation rather than the broader needs </w:t>
      </w:r>
      <w:r w:rsidR="007C1E74">
        <w:t>of</w:t>
      </w:r>
      <w:r>
        <w:t xml:space="preserve"> distressed areas.</w:t>
      </w:r>
      <w:r w:rsidR="007C1E74">
        <w:t xml:space="preserve"> I</w:t>
      </w:r>
      <w:r w:rsidR="00FD1CAC">
        <w:t>f the program is a job creation tool, then it’s</w:t>
      </w:r>
      <w:r w:rsidR="007C1E74">
        <w:t xml:space="preserve"> inferior to high quality jobs; but i</w:t>
      </w:r>
      <w:r w:rsidR="00FD1CAC">
        <w:t>f it’s an urban renewal or rural development tool, then</w:t>
      </w:r>
      <w:r w:rsidR="007C1E74">
        <w:t xml:space="preserve"> it needs to offer more than business incentives.</w:t>
      </w:r>
    </w:p>
    <w:p w:rsidR="00C8690E" w:rsidRPr="00C8690E" w:rsidRDefault="00431BC6" w:rsidP="00C8690E">
      <w:pPr>
        <w:rPr>
          <w:b/>
          <w:sz w:val="24"/>
          <w:szCs w:val="24"/>
        </w:rPr>
      </w:pPr>
      <w:r>
        <w:rPr>
          <w:b/>
          <w:sz w:val="24"/>
          <w:szCs w:val="24"/>
        </w:rPr>
        <w:t xml:space="preserve">Business </w:t>
      </w:r>
      <w:r w:rsidR="006A1049">
        <w:rPr>
          <w:b/>
          <w:sz w:val="24"/>
          <w:szCs w:val="24"/>
        </w:rPr>
        <w:t xml:space="preserve">incentives </w:t>
      </w:r>
      <w:r w:rsidR="00FC2A38">
        <w:rPr>
          <w:b/>
          <w:sz w:val="24"/>
          <w:szCs w:val="24"/>
        </w:rPr>
        <w:t xml:space="preserve">are </w:t>
      </w:r>
      <w:r w:rsidR="00C8690E" w:rsidRPr="00C8690E">
        <w:rPr>
          <w:b/>
          <w:sz w:val="24"/>
          <w:szCs w:val="24"/>
        </w:rPr>
        <w:t xml:space="preserve">not </w:t>
      </w:r>
      <w:r>
        <w:rPr>
          <w:b/>
          <w:sz w:val="24"/>
          <w:szCs w:val="24"/>
        </w:rPr>
        <w:t xml:space="preserve">closely </w:t>
      </w:r>
      <w:r w:rsidR="00C8690E" w:rsidRPr="00C8690E">
        <w:rPr>
          <w:b/>
          <w:sz w:val="24"/>
          <w:szCs w:val="24"/>
        </w:rPr>
        <w:t xml:space="preserve">tied </w:t>
      </w:r>
      <w:r w:rsidR="00FC2A38">
        <w:rPr>
          <w:b/>
          <w:sz w:val="24"/>
          <w:szCs w:val="24"/>
        </w:rPr>
        <w:t xml:space="preserve">to </w:t>
      </w:r>
      <w:r>
        <w:rPr>
          <w:b/>
          <w:sz w:val="24"/>
          <w:szCs w:val="24"/>
        </w:rPr>
        <w:t>job creation</w:t>
      </w:r>
      <w:r w:rsidR="007C1E74">
        <w:rPr>
          <w:b/>
          <w:sz w:val="24"/>
          <w:szCs w:val="24"/>
        </w:rPr>
        <w:t xml:space="preserve"> and are exclusively tax-based</w:t>
      </w:r>
    </w:p>
    <w:p w:rsidR="00C8690E" w:rsidRDefault="00FC2A38" w:rsidP="00C8690E">
      <w:r>
        <w:t>To be eligible for incentives under the program, a business must meet the following criteria:</w:t>
      </w:r>
    </w:p>
    <w:p w:rsidR="00FC2A38" w:rsidRDefault="00FC2A38" w:rsidP="00FC2A38">
      <w:pPr>
        <w:pStyle w:val="ListParagraph"/>
        <w:numPr>
          <w:ilvl w:val="0"/>
          <w:numId w:val="5"/>
        </w:numPr>
      </w:pPr>
      <w:r>
        <w:t>Be located in a designated zone.</w:t>
      </w:r>
    </w:p>
    <w:p w:rsidR="00FC2A38" w:rsidRDefault="00FC2A38" w:rsidP="00FC2A38">
      <w:pPr>
        <w:pStyle w:val="ListParagraph"/>
        <w:numPr>
          <w:ilvl w:val="0"/>
          <w:numId w:val="5"/>
        </w:numPr>
      </w:pPr>
      <w:r>
        <w:t>Not be inappropriately reducing or relocating operations.</w:t>
      </w:r>
    </w:p>
    <w:p w:rsidR="00FC2A38" w:rsidRDefault="00FC2A38" w:rsidP="00FC2A38">
      <w:pPr>
        <w:pStyle w:val="ListParagraph"/>
        <w:numPr>
          <w:ilvl w:val="0"/>
          <w:numId w:val="5"/>
        </w:numPr>
      </w:pPr>
      <w:r>
        <w:t>Not be a retail business.</w:t>
      </w:r>
    </w:p>
    <w:p w:rsidR="00FC2A38" w:rsidRDefault="00FC2A38" w:rsidP="00FC2A38">
      <w:pPr>
        <w:pStyle w:val="ListParagraph"/>
        <w:numPr>
          <w:ilvl w:val="0"/>
          <w:numId w:val="5"/>
        </w:numPr>
      </w:pPr>
      <w:r>
        <w:t>Provide sufficient benefits to employees.</w:t>
      </w:r>
    </w:p>
    <w:p w:rsidR="00FC2A38" w:rsidRDefault="00FC2A38" w:rsidP="00FC2A38">
      <w:pPr>
        <w:pStyle w:val="ListParagraph"/>
        <w:numPr>
          <w:ilvl w:val="0"/>
          <w:numId w:val="5"/>
        </w:numPr>
      </w:pPr>
      <w:r>
        <w:t>Pay at least 90% of the qualifying wage threshold.</w:t>
      </w:r>
    </w:p>
    <w:p w:rsidR="00FC2A38" w:rsidRDefault="00FC2A38" w:rsidP="00FC2A38">
      <w:pPr>
        <w:pStyle w:val="ListParagraph"/>
        <w:numPr>
          <w:ilvl w:val="0"/>
          <w:numId w:val="5"/>
        </w:numPr>
      </w:pPr>
      <w:r>
        <w:t>Create or retain 10 or more jobs.</w:t>
      </w:r>
    </w:p>
    <w:p w:rsidR="00FC2A38" w:rsidRDefault="00FC2A38" w:rsidP="00FC2A38">
      <w:pPr>
        <w:pStyle w:val="ListParagraph"/>
        <w:numPr>
          <w:ilvl w:val="0"/>
          <w:numId w:val="5"/>
        </w:numPr>
      </w:pPr>
      <w:r>
        <w:t>Make a capital investment of at least $500,000.</w:t>
      </w:r>
    </w:p>
    <w:p w:rsidR="00FC2A38" w:rsidRDefault="00C628FF" w:rsidP="00FC2A38">
      <w:r>
        <w:t>The incentive for eligible businesses is a 10% investment tax credit</w:t>
      </w:r>
      <w:r w:rsidR="009C0280">
        <w:t xml:space="preserve"> (ITC)</w:t>
      </w:r>
      <w:r>
        <w:t>. That is, it’s 10% whether the business creates 10 jobs or 100</w:t>
      </w:r>
      <w:r w:rsidR="00FC2A38">
        <w:t>.</w:t>
      </w:r>
      <w:r>
        <w:t xml:space="preserve"> Whether it invests $500,000 or $5 billion.</w:t>
      </w:r>
      <w:r w:rsidR="00EE412A">
        <w:t xml:space="preserve"> In contrast, t</w:t>
      </w:r>
      <w:r w:rsidR="009C0280">
        <w:t xml:space="preserve">he high quality jobs program (HQJP) </w:t>
      </w:r>
      <w:r w:rsidR="00EE412A">
        <w:t>uses a sliding scale to increase the</w:t>
      </w:r>
      <w:r w:rsidR="009C0280">
        <w:t xml:space="preserve"> incentive types and amounts as capital investment amounts and created jobs increase. Businesses in HJQJP don’t qualify for a 10% ITC until they invest $100 million and create 100 jobs.</w:t>
      </w:r>
    </w:p>
    <w:p w:rsidR="009C0280" w:rsidRDefault="009C0280" w:rsidP="00FC2A38">
      <w:r>
        <w:lastRenderedPageBreak/>
        <w:t>In addition, the EZ program’s benefits are exclusively tax-based. Many business have no income tax liability or no eligibility for the R&amp;D credit. In such cases, a loan/forgivable loan component often makes sense for a project, but the EZ program has no direct financial assistance for businesses.</w:t>
      </w:r>
    </w:p>
    <w:p w:rsidR="00431BC6" w:rsidRPr="00C8690E" w:rsidRDefault="00497618" w:rsidP="00431BC6">
      <w:pPr>
        <w:rPr>
          <w:b/>
          <w:sz w:val="24"/>
          <w:szCs w:val="24"/>
        </w:rPr>
      </w:pPr>
      <w:r>
        <w:rPr>
          <w:b/>
          <w:sz w:val="24"/>
          <w:szCs w:val="24"/>
        </w:rPr>
        <w:t>The local c</w:t>
      </w:r>
      <w:r w:rsidR="00431BC6">
        <w:rPr>
          <w:b/>
          <w:sz w:val="24"/>
          <w:szCs w:val="24"/>
        </w:rPr>
        <w:t xml:space="preserve">ommissions </w:t>
      </w:r>
      <w:r w:rsidR="007464BC">
        <w:rPr>
          <w:b/>
          <w:sz w:val="24"/>
          <w:szCs w:val="24"/>
        </w:rPr>
        <w:t xml:space="preserve">and the zone boundaries </w:t>
      </w:r>
      <w:r w:rsidR="00431BC6">
        <w:rPr>
          <w:b/>
          <w:sz w:val="24"/>
          <w:szCs w:val="24"/>
        </w:rPr>
        <w:t>create bureaucracy</w:t>
      </w:r>
      <w:r>
        <w:rPr>
          <w:b/>
          <w:sz w:val="24"/>
          <w:szCs w:val="24"/>
        </w:rPr>
        <w:t xml:space="preserve"> at two levels</w:t>
      </w:r>
    </w:p>
    <w:p w:rsidR="000A38C9" w:rsidRDefault="000A38C9" w:rsidP="00431BC6">
      <w:r>
        <w:t>Every eligible business must first apply to the local commission, which must make an initial determination of eligibility, and only then submit the application to the authority for final action. Since the final determination on the application rests with the authority, the requirement of approval by local commissions is an unnecessary and bureaucratic requirement in order to obtain state incentives.</w:t>
      </w:r>
      <w:r w:rsidR="00497618">
        <w:t xml:space="preserve"> </w:t>
      </w:r>
      <w:r w:rsidR="007464BC">
        <w:t xml:space="preserve">The red-tape is particularly thick in cases where, in order to accommodate an important new project, </w:t>
      </w:r>
      <w:r w:rsidR="00497618">
        <w:t>the geographic boundaries of the zone must first be amended</w:t>
      </w:r>
      <w:r w:rsidR="007464BC">
        <w:t xml:space="preserve"> at the local level and approved by the state</w:t>
      </w:r>
      <w:r w:rsidR="00497618">
        <w:t xml:space="preserve"> </w:t>
      </w:r>
      <w:r w:rsidR="007464BC">
        <w:t>before the usual local and state application approvals can be obtained</w:t>
      </w:r>
      <w:r w:rsidR="00497618">
        <w:t>.</w:t>
      </w:r>
      <w:r w:rsidR="004570BF">
        <w:t xml:space="preserve"> In addition, zones are designated by legal property descriptions and not by addresses, making it impossible at the state level to accurately map designated zones.</w:t>
      </w:r>
    </w:p>
    <w:p w:rsidR="00197676" w:rsidRPr="00197676" w:rsidRDefault="002002F6">
      <w:pPr>
        <w:rPr>
          <w:b/>
          <w:sz w:val="24"/>
          <w:szCs w:val="24"/>
        </w:rPr>
      </w:pPr>
      <w:r>
        <w:rPr>
          <w:b/>
          <w:sz w:val="24"/>
          <w:szCs w:val="24"/>
        </w:rPr>
        <w:t>Signigicant o</w:t>
      </w:r>
      <w:r w:rsidR="006A1049">
        <w:rPr>
          <w:b/>
          <w:sz w:val="24"/>
          <w:szCs w:val="24"/>
        </w:rPr>
        <w:t xml:space="preserve">verlap with the HQJ program </w:t>
      </w:r>
      <w:r>
        <w:rPr>
          <w:b/>
          <w:sz w:val="24"/>
          <w:szCs w:val="24"/>
        </w:rPr>
        <w:t>creates complexity and additional administrative overhead</w:t>
      </w:r>
    </w:p>
    <w:p w:rsidR="00197676" w:rsidRDefault="00197676">
      <w:r>
        <w:t xml:space="preserve">The High Quality Jobs program (HQJ) and the EZ program </w:t>
      </w:r>
      <w:r w:rsidR="00592A8D">
        <w:t>have</w:t>
      </w:r>
      <w:r>
        <w:t xml:space="preserve"> nearly identical </w:t>
      </w:r>
      <w:r w:rsidR="00592A8D">
        <w:t>capabilities</w:t>
      </w:r>
      <w:r>
        <w:t xml:space="preserve">. </w:t>
      </w:r>
      <w:r w:rsidR="006A1049">
        <w:t>The following table compares the two program</w:t>
      </w:r>
      <w:r w:rsidR="00592A8D">
        <w:t>s</w:t>
      </w:r>
      <w:r w:rsidR="006A1049">
        <w:t>:</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18"/>
        <w:gridCol w:w="1980"/>
        <w:gridCol w:w="4032"/>
      </w:tblGrid>
      <w:tr w:rsidR="00B940E6" w:rsidRPr="001478A8" w:rsidTr="001478A8">
        <w:trPr>
          <w:cnfStyle w:val="100000000000"/>
        </w:trPr>
        <w:tc>
          <w:tcPr>
            <w:cnfStyle w:val="001000000000"/>
            <w:tcW w:w="2610" w:type="dxa"/>
            <w:tcBorders>
              <w:top w:val="none" w:sz="0" w:space="0" w:color="auto"/>
              <w:left w:val="none" w:sz="0" w:space="0" w:color="auto"/>
              <w:bottom w:val="none" w:sz="0" w:space="0" w:color="auto"/>
              <w:right w:val="none" w:sz="0" w:space="0" w:color="auto"/>
            </w:tcBorders>
          </w:tcPr>
          <w:p w:rsidR="00B940E6" w:rsidRPr="001478A8" w:rsidRDefault="00B940E6"/>
        </w:tc>
        <w:tc>
          <w:tcPr>
            <w:tcW w:w="1818" w:type="dxa"/>
            <w:tcBorders>
              <w:top w:val="none" w:sz="0" w:space="0" w:color="auto"/>
              <w:left w:val="none" w:sz="0" w:space="0" w:color="auto"/>
              <w:bottom w:val="none" w:sz="0" w:space="0" w:color="auto"/>
              <w:right w:val="none" w:sz="0" w:space="0" w:color="auto"/>
            </w:tcBorders>
          </w:tcPr>
          <w:p w:rsidR="00B940E6" w:rsidRPr="001478A8" w:rsidRDefault="00EB00AF" w:rsidP="00EB00AF">
            <w:pPr>
              <w:jc w:val="center"/>
              <w:cnfStyle w:val="100000000000"/>
            </w:pPr>
            <w:r w:rsidRPr="001478A8">
              <w:t>Enterprise Zones</w:t>
            </w:r>
          </w:p>
        </w:tc>
        <w:tc>
          <w:tcPr>
            <w:tcW w:w="1980" w:type="dxa"/>
            <w:tcBorders>
              <w:top w:val="none" w:sz="0" w:space="0" w:color="auto"/>
              <w:left w:val="none" w:sz="0" w:space="0" w:color="auto"/>
              <w:bottom w:val="none" w:sz="0" w:space="0" w:color="auto"/>
              <w:right w:val="none" w:sz="0" w:space="0" w:color="auto"/>
            </w:tcBorders>
          </w:tcPr>
          <w:p w:rsidR="00B940E6" w:rsidRPr="001478A8" w:rsidRDefault="00B940E6" w:rsidP="00B940E6">
            <w:pPr>
              <w:jc w:val="center"/>
              <w:cnfStyle w:val="100000000000"/>
            </w:pPr>
            <w:r w:rsidRPr="001478A8">
              <w:t>High Quality Jobs</w:t>
            </w:r>
          </w:p>
        </w:tc>
        <w:tc>
          <w:tcPr>
            <w:tcW w:w="4032" w:type="dxa"/>
            <w:tcBorders>
              <w:top w:val="none" w:sz="0" w:space="0" w:color="auto"/>
              <w:left w:val="none" w:sz="0" w:space="0" w:color="auto"/>
              <w:bottom w:val="none" w:sz="0" w:space="0" w:color="auto"/>
              <w:right w:val="none" w:sz="0" w:space="0" w:color="auto"/>
            </w:tcBorders>
          </w:tcPr>
          <w:p w:rsidR="00B940E6" w:rsidRPr="001478A8" w:rsidRDefault="00B940E6" w:rsidP="00B940E6">
            <w:pPr>
              <w:jc w:val="center"/>
              <w:cnfStyle w:val="100000000000"/>
            </w:pPr>
            <w:r w:rsidRPr="001478A8">
              <w:t>Comments</w:t>
            </w:r>
          </w:p>
        </w:tc>
      </w:tr>
      <w:tr w:rsidR="00B940E6" w:rsidTr="001478A8">
        <w:trPr>
          <w:cnfStyle w:val="000000100000"/>
        </w:trPr>
        <w:tc>
          <w:tcPr>
            <w:cnfStyle w:val="001000000000"/>
            <w:tcW w:w="2610" w:type="dxa"/>
            <w:tcBorders>
              <w:right w:val="none" w:sz="0" w:space="0" w:color="auto"/>
            </w:tcBorders>
          </w:tcPr>
          <w:p w:rsidR="00B940E6" w:rsidRPr="001478A8" w:rsidRDefault="00B940E6">
            <w:r w:rsidRPr="001478A8">
              <w:t>Investment Tax Credits?</w:t>
            </w:r>
          </w:p>
        </w:tc>
        <w:tc>
          <w:tcPr>
            <w:tcW w:w="1818" w:type="dxa"/>
            <w:tcBorders>
              <w:left w:val="none" w:sz="0" w:space="0" w:color="auto"/>
              <w:right w:val="none" w:sz="0" w:space="0" w:color="auto"/>
            </w:tcBorders>
          </w:tcPr>
          <w:p w:rsidR="00B940E6" w:rsidRDefault="00EB00AF" w:rsidP="00B940E6">
            <w:pPr>
              <w:jc w:val="center"/>
              <w:cnfStyle w:val="000000100000"/>
            </w:pPr>
            <w:r>
              <w:t>X</w:t>
            </w:r>
          </w:p>
        </w:tc>
        <w:tc>
          <w:tcPr>
            <w:tcW w:w="1980" w:type="dxa"/>
            <w:tcBorders>
              <w:left w:val="none" w:sz="0" w:space="0" w:color="auto"/>
              <w:right w:val="none" w:sz="0" w:space="0" w:color="auto"/>
            </w:tcBorders>
          </w:tcPr>
          <w:p w:rsidR="00B940E6" w:rsidRDefault="00EB00AF" w:rsidP="00B940E6">
            <w:pPr>
              <w:jc w:val="center"/>
              <w:cnfStyle w:val="000000100000"/>
            </w:pPr>
            <w:r>
              <w:t>X</w:t>
            </w:r>
          </w:p>
        </w:tc>
        <w:tc>
          <w:tcPr>
            <w:tcW w:w="4032" w:type="dxa"/>
            <w:tcBorders>
              <w:left w:val="none" w:sz="0" w:space="0" w:color="auto"/>
            </w:tcBorders>
          </w:tcPr>
          <w:p w:rsidR="00B940E6" w:rsidRDefault="00EB00AF">
            <w:pPr>
              <w:cnfStyle w:val="000000100000"/>
            </w:pPr>
            <w:r>
              <w:t>Corporate or individual income tax credits</w:t>
            </w:r>
          </w:p>
        </w:tc>
      </w:tr>
      <w:tr w:rsidR="00B940E6" w:rsidTr="001478A8">
        <w:trPr>
          <w:cnfStyle w:val="000000010000"/>
        </w:trPr>
        <w:tc>
          <w:tcPr>
            <w:cnfStyle w:val="001000000000"/>
            <w:tcW w:w="2610" w:type="dxa"/>
            <w:tcBorders>
              <w:right w:val="none" w:sz="0" w:space="0" w:color="auto"/>
            </w:tcBorders>
          </w:tcPr>
          <w:p w:rsidR="00B940E6" w:rsidRPr="001478A8" w:rsidRDefault="00B940E6">
            <w:r w:rsidRPr="001478A8">
              <w:t>Sales Tax Refunds?</w:t>
            </w:r>
          </w:p>
        </w:tc>
        <w:tc>
          <w:tcPr>
            <w:tcW w:w="1818" w:type="dxa"/>
            <w:tcBorders>
              <w:left w:val="none" w:sz="0" w:space="0" w:color="auto"/>
              <w:right w:val="none" w:sz="0" w:space="0" w:color="auto"/>
            </w:tcBorders>
          </w:tcPr>
          <w:p w:rsidR="00B940E6" w:rsidRDefault="00EB00AF" w:rsidP="00B940E6">
            <w:pPr>
              <w:jc w:val="center"/>
              <w:cnfStyle w:val="000000010000"/>
            </w:pPr>
            <w:r>
              <w:t>X</w:t>
            </w:r>
          </w:p>
        </w:tc>
        <w:tc>
          <w:tcPr>
            <w:tcW w:w="1980" w:type="dxa"/>
            <w:tcBorders>
              <w:left w:val="none" w:sz="0" w:space="0" w:color="auto"/>
              <w:right w:val="none" w:sz="0" w:space="0" w:color="auto"/>
            </w:tcBorders>
          </w:tcPr>
          <w:p w:rsidR="00B940E6" w:rsidRDefault="00EB00AF" w:rsidP="00B940E6">
            <w:pPr>
              <w:jc w:val="center"/>
              <w:cnfStyle w:val="000000010000"/>
            </w:pPr>
            <w:r>
              <w:t>X</w:t>
            </w:r>
          </w:p>
        </w:tc>
        <w:tc>
          <w:tcPr>
            <w:tcW w:w="4032" w:type="dxa"/>
            <w:tcBorders>
              <w:left w:val="none" w:sz="0" w:space="0" w:color="auto"/>
            </w:tcBorders>
          </w:tcPr>
          <w:p w:rsidR="00B940E6" w:rsidRDefault="00B940E6">
            <w:pPr>
              <w:cnfStyle w:val="000000010000"/>
            </w:pPr>
          </w:p>
        </w:tc>
      </w:tr>
      <w:tr w:rsidR="00B940E6" w:rsidTr="001478A8">
        <w:trPr>
          <w:cnfStyle w:val="000000100000"/>
        </w:trPr>
        <w:tc>
          <w:tcPr>
            <w:cnfStyle w:val="001000000000"/>
            <w:tcW w:w="2610" w:type="dxa"/>
            <w:tcBorders>
              <w:right w:val="none" w:sz="0" w:space="0" w:color="auto"/>
            </w:tcBorders>
          </w:tcPr>
          <w:p w:rsidR="00B940E6" w:rsidRPr="001478A8" w:rsidRDefault="00B940E6">
            <w:r w:rsidRPr="001478A8">
              <w:t>R&amp;D Tax Credits?</w:t>
            </w:r>
          </w:p>
        </w:tc>
        <w:tc>
          <w:tcPr>
            <w:tcW w:w="1818" w:type="dxa"/>
            <w:tcBorders>
              <w:left w:val="none" w:sz="0" w:space="0" w:color="auto"/>
              <w:right w:val="none" w:sz="0" w:space="0" w:color="auto"/>
            </w:tcBorders>
          </w:tcPr>
          <w:p w:rsidR="00B940E6" w:rsidRDefault="00EB00AF" w:rsidP="00B940E6">
            <w:pPr>
              <w:jc w:val="center"/>
              <w:cnfStyle w:val="000000100000"/>
            </w:pPr>
            <w:r>
              <w:t>X</w:t>
            </w:r>
          </w:p>
        </w:tc>
        <w:tc>
          <w:tcPr>
            <w:tcW w:w="1980" w:type="dxa"/>
            <w:tcBorders>
              <w:left w:val="none" w:sz="0" w:space="0" w:color="auto"/>
              <w:right w:val="none" w:sz="0" w:space="0" w:color="auto"/>
            </w:tcBorders>
          </w:tcPr>
          <w:p w:rsidR="00B940E6" w:rsidRDefault="00EB00AF" w:rsidP="00B940E6">
            <w:pPr>
              <w:jc w:val="center"/>
              <w:cnfStyle w:val="000000100000"/>
            </w:pPr>
            <w:r>
              <w:t>X</w:t>
            </w:r>
          </w:p>
        </w:tc>
        <w:tc>
          <w:tcPr>
            <w:tcW w:w="4032" w:type="dxa"/>
            <w:tcBorders>
              <w:left w:val="none" w:sz="0" w:space="0" w:color="auto"/>
            </w:tcBorders>
          </w:tcPr>
          <w:p w:rsidR="00B940E6" w:rsidRDefault="00EB00AF">
            <w:pPr>
              <w:cnfStyle w:val="000000100000"/>
            </w:pPr>
            <w:r>
              <w:t>Supplemental awarded credits</w:t>
            </w:r>
          </w:p>
        </w:tc>
      </w:tr>
      <w:tr w:rsidR="00B940E6" w:rsidRPr="008D3595" w:rsidTr="001478A8">
        <w:trPr>
          <w:cnfStyle w:val="000000010000"/>
        </w:trPr>
        <w:tc>
          <w:tcPr>
            <w:cnfStyle w:val="001000000000"/>
            <w:tcW w:w="2610" w:type="dxa"/>
            <w:tcBorders>
              <w:right w:val="none" w:sz="0" w:space="0" w:color="auto"/>
            </w:tcBorders>
          </w:tcPr>
          <w:p w:rsidR="00B940E6" w:rsidRPr="008D3595" w:rsidRDefault="00B940E6">
            <w:r w:rsidRPr="008D3595">
              <w:t>New Jobs Withholding?</w:t>
            </w:r>
          </w:p>
        </w:tc>
        <w:tc>
          <w:tcPr>
            <w:tcW w:w="1818" w:type="dxa"/>
            <w:tcBorders>
              <w:left w:val="none" w:sz="0" w:space="0" w:color="auto"/>
              <w:right w:val="none" w:sz="0" w:space="0" w:color="auto"/>
            </w:tcBorders>
          </w:tcPr>
          <w:p w:rsidR="00B940E6" w:rsidRPr="008D3595" w:rsidRDefault="00EB00AF" w:rsidP="00B940E6">
            <w:pPr>
              <w:jc w:val="center"/>
              <w:cnfStyle w:val="000000010000"/>
            </w:pPr>
            <w:r w:rsidRPr="008D3595">
              <w:t>X</w:t>
            </w:r>
          </w:p>
        </w:tc>
        <w:tc>
          <w:tcPr>
            <w:tcW w:w="1980" w:type="dxa"/>
            <w:tcBorders>
              <w:left w:val="none" w:sz="0" w:space="0" w:color="auto"/>
              <w:right w:val="none" w:sz="0" w:space="0" w:color="auto"/>
            </w:tcBorders>
          </w:tcPr>
          <w:p w:rsidR="00B940E6" w:rsidRPr="008D3595" w:rsidRDefault="00B940E6" w:rsidP="00B940E6">
            <w:pPr>
              <w:jc w:val="center"/>
              <w:cnfStyle w:val="000000010000"/>
            </w:pPr>
          </w:p>
        </w:tc>
        <w:tc>
          <w:tcPr>
            <w:tcW w:w="4032" w:type="dxa"/>
            <w:tcBorders>
              <w:left w:val="none" w:sz="0" w:space="0" w:color="auto"/>
            </w:tcBorders>
          </w:tcPr>
          <w:p w:rsidR="00B940E6" w:rsidRPr="008D3595" w:rsidRDefault="008D3595">
            <w:pPr>
              <w:cnfStyle w:val="000000010000"/>
            </w:pPr>
            <w:r w:rsidRPr="008D3595">
              <w:t>Available under 15A.7 and 260E.</w:t>
            </w:r>
          </w:p>
        </w:tc>
      </w:tr>
      <w:tr w:rsidR="00B940E6" w:rsidTr="001478A8">
        <w:trPr>
          <w:cnfStyle w:val="000000100000"/>
        </w:trPr>
        <w:tc>
          <w:tcPr>
            <w:cnfStyle w:val="001000000000"/>
            <w:tcW w:w="2610" w:type="dxa"/>
            <w:tcBorders>
              <w:right w:val="none" w:sz="0" w:space="0" w:color="auto"/>
            </w:tcBorders>
          </w:tcPr>
          <w:p w:rsidR="00B940E6" w:rsidRPr="001478A8" w:rsidRDefault="00B940E6" w:rsidP="00B940E6">
            <w:r w:rsidRPr="001478A8">
              <w:t>Insurance Tax Credits?</w:t>
            </w:r>
          </w:p>
        </w:tc>
        <w:tc>
          <w:tcPr>
            <w:tcW w:w="1818" w:type="dxa"/>
            <w:tcBorders>
              <w:left w:val="none" w:sz="0" w:space="0" w:color="auto"/>
              <w:right w:val="none" w:sz="0" w:space="0" w:color="auto"/>
            </w:tcBorders>
          </w:tcPr>
          <w:p w:rsidR="00B940E6" w:rsidRDefault="00EB00AF" w:rsidP="00B940E6">
            <w:pPr>
              <w:jc w:val="center"/>
              <w:cnfStyle w:val="000000100000"/>
            </w:pPr>
            <w:r>
              <w:t>X</w:t>
            </w:r>
          </w:p>
        </w:tc>
        <w:tc>
          <w:tcPr>
            <w:tcW w:w="1980" w:type="dxa"/>
            <w:tcBorders>
              <w:left w:val="none" w:sz="0" w:space="0" w:color="auto"/>
              <w:right w:val="none" w:sz="0" w:space="0" w:color="auto"/>
            </w:tcBorders>
          </w:tcPr>
          <w:p w:rsidR="00B940E6" w:rsidRDefault="00EB00AF" w:rsidP="00B940E6">
            <w:pPr>
              <w:jc w:val="center"/>
              <w:cnfStyle w:val="000000100000"/>
            </w:pPr>
            <w:r>
              <w:t>X</w:t>
            </w:r>
          </w:p>
        </w:tc>
        <w:tc>
          <w:tcPr>
            <w:tcW w:w="4032" w:type="dxa"/>
            <w:tcBorders>
              <w:left w:val="none" w:sz="0" w:space="0" w:color="auto"/>
            </w:tcBorders>
          </w:tcPr>
          <w:p w:rsidR="00B940E6" w:rsidRDefault="00EB00AF" w:rsidP="00B940E6">
            <w:pPr>
              <w:cnfStyle w:val="000000100000"/>
            </w:pPr>
            <w:r>
              <w:t>Only insurers pay the premiums tax</w:t>
            </w:r>
          </w:p>
        </w:tc>
      </w:tr>
      <w:tr w:rsidR="00B940E6" w:rsidRPr="001478A8" w:rsidTr="001478A8">
        <w:trPr>
          <w:cnfStyle w:val="000000010000"/>
        </w:trPr>
        <w:tc>
          <w:tcPr>
            <w:cnfStyle w:val="001000000000"/>
            <w:tcW w:w="2610" w:type="dxa"/>
            <w:tcBorders>
              <w:right w:val="none" w:sz="0" w:space="0" w:color="auto"/>
            </w:tcBorders>
          </w:tcPr>
          <w:p w:rsidR="00B940E6" w:rsidRPr="001478A8" w:rsidRDefault="00B940E6">
            <w:pPr>
              <w:rPr>
                <w:color w:val="FF0000"/>
              </w:rPr>
            </w:pPr>
            <w:r w:rsidRPr="001478A8">
              <w:rPr>
                <w:color w:val="FF0000"/>
              </w:rPr>
              <w:t>Housing Tax Credits?</w:t>
            </w:r>
          </w:p>
        </w:tc>
        <w:tc>
          <w:tcPr>
            <w:tcW w:w="1818" w:type="dxa"/>
            <w:tcBorders>
              <w:left w:val="none" w:sz="0" w:space="0" w:color="auto"/>
              <w:right w:val="none" w:sz="0" w:space="0" w:color="auto"/>
            </w:tcBorders>
          </w:tcPr>
          <w:p w:rsidR="00B940E6" w:rsidRPr="001478A8" w:rsidRDefault="00EB00AF" w:rsidP="00B940E6">
            <w:pPr>
              <w:jc w:val="center"/>
              <w:cnfStyle w:val="000000010000"/>
              <w:rPr>
                <w:color w:val="FF0000"/>
              </w:rPr>
            </w:pPr>
            <w:r w:rsidRPr="001478A8">
              <w:rPr>
                <w:color w:val="FF0000"/>
              </w:rPr>
              <w:t>X</w:t>
            </w:r>
          </w:p>
        </w:tc>
        <w:tc>
          <w:tcPr>
            <w:tcW w:w="1980" w:type="dxa"/>
            <w:tcBorders>
              <w:left w:val="none" w:sz="0" w:space="0" w:color="auto"/>
              <w:right w:val="none" w:sz="0" w:space="0" w:color="auto"/>
            </w:tcBorders>
          </w:tcPr>
          <w:p w:rsidR="00B940E6" w:rsidRPr="001478A8" w:rsidRDefault="00B940E6" w:rsidP="00B940E6">
            <w:pPr>
              <w:jc w:val="center"/>
              <w:cnfStyle w:val="000000010000"/>
              <w:rPr>
                <w:color w:val="FF0000"/>
              </w:rPr>
            </w:pPr>
          </w:p>
        </w:tc>
        <w:tc>
          <w:tcPr>
            <w:tcW w:w="4032" w:type="dxa"/>
            <w:tcBorders>
              <w:left w:val="none" w:sz="0" w:space="0" w:color="auto"/>
            </w:tcBorders>
          </w:tcPr>
          <w:p w:rsidR="00B940E6" w:rsidRPr="001478A8" w:rsidRDefault="00EB00AF">
            <w:pPr>
              <w:cnfStyle w:val="000000010000"/>
              <w:rPr>
                <w:color w:val="FF0000"/>
              </w:rPr>
            </w:pPr>
            <w:r w:rsidRPr="001478A8">
              <w:rPr>
                <w:color w:val="FF0000"/>
              </w:rPr>
              <w:t>Targeted to developers</w:t>
            </w:r>
          </w:p>
        </w:tc>
      </w:tr>
      <w:tr w:rsidR="00B940E6" w:rsidTr="001478A8">
        <w:trPr>
          <w:cnfStyle w:val="000000100000"/>
        </w:trPr>
        <w:tc>
          <w:tcPr>
            <w:cnfStyle w:val="001000000000"/>
            <w:tcW w:w="2610" w:type="dxa"/>
            <w:tcBorders>
              <w:right w:val="none" w:sz="0" w:space="0" w:color="auto"/>
            </w:tcBorders>
          </w:tcPr>
          <w:p w:rsidR="00B940E6" w:rsidRPr="001478A8" w:rsidRDefault="00B940E6">
            <w:r w:rsidRPr="001478A8">
              <w:t>Property Tax Exemptions?</w:t>
            </w:r>
          </w:p>
        </w:tc>
        <w:tc>
          <w:tcPr>
            <w:tcW w:w="1818" w:type="dxa"/>
            <w:tcBorders>
              <w:left w:val="none" w:sz="0" w:space="0" w:color="auto"/>
              <w:right w:val="none" w:sz="0" w:space="0" w:color="auto"/>
            </w:tcBorders>
          </w:tcPr>
          <w:p w:rsidR="00B940E6" w:rsidRDefault="00EB00AF" w:rsidP="00B940E6">
            <w:pPr>
              <w:jc w:val="center"/>
              <w:cnfStyle w:val="000000100000"/>
            </w:pPr>
            <w:r>
              <w:t>X</w:t>
            </w:r>
          </w:p>
        </w:tc>
        <w:tc>
          <w:tcPr>
            <w:tcW w:w="1980" w:type="dxa"/>
            <w:tcBorders>
              <w:left w:val="none" w:sz="0" w:space="0" w:color="auto"/>
              <w:right w:val="none" w:sz="0" w:space="0" w:color="auto"/>
            </w:tcBorders>
          </w:tcPr>
          <w:p w:rsidR="00B940E6" w:rsidRDefault="00EB00AF" w:rsidP="00B940E6">
            <w:pPr>
              <w:jc w:val="center"/>
              <w:cnfStyle w:val="000000100000"/>
            </w:pPr>
            <w:r>
              <w:t>X</w:t>
            </w:r>
          </w:p>
        </w:tc>
        <w:tc>
          <w:tcPr>
            <w:tcW w:w="4032" w:type="dxa"/>
            <w:tcBorders>
              <w:left w:val="none" w:sz="0" w:space="0" w:color="auto"/>
            </w:tcBorders>
          </w:tcPr>
          <w:p w:rsidR="00B940E6" w:rsidRDefault="00B940E6">
            <w:pPr>
              <w:cnfStyle w:val="000000100000"/>
            </w:pPr>
          </w:p>
        </w:tc>
      </w:tr>
      <w:tr w:rsidR="00B940E6" w:rsidTr="001478A8">
        <w:trPr>
          <w:cnfStyle w:val="000000010000"/>
        </w:trPr>
        <w:tc>
          <w:tcPr>
            <w:cnfStyle w:val="001000000000"/>
            <w:tcW w:w="2610" w:type="dxa"/>
            <w:tcBorders>
              <w:right w:val="none" w:sz="0" w:space="0" w:color="auto"/>
            </w:tcBorders>
          </w:tcPr>
          <w:p w:rsidR="00B940E6" w:rsidRPr="001478A8" w:rsidRDefault="00B940E6" w:rsidP="00B940E6">
            <w:r w:rsidRPr="001478A8">
              <w:t>Wage Thresholds?</w:t>
            </w:r>
          </w:p>
        </w:tc>
        <w:tc>
          <w:tcPr>
            <w:tcW w:w="1818" w:type="dxa"/>
            <w:tcBorders>
              <w:left w:val="none" w:sz="0" w:space="0" w:color="auto"/>
              <w:right w:val="none" w:sz="0" w:space="0" w:color="auto"/>
            </w:tcBorders>
          </w:tcPr>
          <w:p w:rsidR="00B940E6" w:rsidRDefault="00EB00AF" w:rsidP="00B940E6">
            <w:pPr>
              <w:jc w:val="center"/>
              <w:cnfStyle w:val="000000010000"/>
            </w:pPr>
            <w:r>
              <w:t>X</w:t>
            </w:r>
          </w:p>
        </w:tc>
        <w:tc>
          <w:tcPr>
            <w:tcW w:w="1980" w:type="dxa"/>
            <w:tcBorders>
              <w:left w:val="none" w:sz="0" w:space="0" w:color="auto"/>
              <w:right w:val="none" w:sz="0" w:space="0" w:color="auto"/>
            </w:tcBorders>
          </w:tcPr>
          <w:p w:rsidR="00B940E6" w:rsidRDefault="00EB00AF" w:rsidP="00B940E6">
            <w:pPr>
              <w:jc w:val="center"/>
              <w:cnfStyle w:val="000000010000"/>
            </w:pPr>
            <w:r>
              <w:t>X</w:t>
            </w:r>
          </w:p>
        </w:tc>
        <w:tc>
          <w:tcPr>
            <w:tcW w:w="4032" w:type="dxa"/>
            <w:tcBorders>
              <w:left w:val="none" w:sz="0" w:space="0" w:color="auto"/>
            </w:tcBorders>
          </w:tcPr>
          <w:p w:rsidR="00B940E6" w:rsidRDefault="00EB00AF" w:rsidP="00B940E6">
            <w:pPr>
              <w:cnfStyle w:val="000000010000"/>
            </w:pPr>
            <w:r>
              <w:t>90% in EZ; 100% or 120% in HQJ</w:t>
            </w:r>
          </w:p>
        </w:tc>
      </w:tr>
      <w:tr w:rsidR="00B940E6" w:rsidTr="001478A8">
        <w:trPr>
          <w:cnfStyle w:val="000000100000"/>
        </w:trPr>
        <w:tc>
          <w:tcPr>
            <w:cnfStyle w:val="001000000000"/>
            <w:tcW w:w="2610" w:type="dxa"/>
            <w:tcBorders>
              <w:right w:val="none" w:sz="0" w:space="0" w:color="auto"/>
            </w:tcBorders>
          </w:tcPr>
          <w:p w:rsidR="00B940E6" w:rsidRPr="001478A8" w:rsidRDefault="00B940E6" w:rsidP="00B940E6">
            <w:r w:rsidRPr="001478A8">
              <w:t>Benefits Requirement?</w:t>
            </w:r>
          </w:p>
        </w:tc>
        <w:tc>
          <w:tcPr>
            <w:tcW w:w="1818" w:type="dxa"/>
            <w:tcBorders>
              <w:left w:val="none" w:sz="0" w:space="0" w:color="auto"/>
              <w:right w:val="none" w:sz="0" w:space="0" w:color="auto"/>
            </w:tcBorders>
          </w:tcPr>
          <w:p w:rsidR="00B940E6" w:rsidRDefault="00EB00AF" w:rsidP="00B940E6">
            <w:pPr>
              <w:jc w:val="center"/>
              <w:cnfStyle w:val="000000100000"/>
            </w:pPr>
            <w:r>
              <w:t>X</w:t>
            </w:r>
          </w:p>
        </w:tc>
        <w:tc>
          <w:tcPr>
            <w:tcW w:w="1980" w:type="dxa"/>
            <w:tcBorders>
              <w:left w:val="none" w:sz="0" w:space="0" w:color="auto"/>
              <w:right w:val="none" w:sz="0" w:space="0" w:color="auto"/>
            </w:tcBorders>
          </w:tcPr>
          <w:p w:rsidR="00B940E6" w:rsidRDefault="00EB00AF" w:rsidP="00B940E6">
            <w:pPr>
              <w:jc w:val="center"/>
              <w:cnfStyle w:val="000000100000"/>
            </w:pPr>
            <w:r>
              <w:t>X</w:t>
            </w:r>
          </w:p>
        </w:tc>
        <w:tc>
          <w:tcPr>
            <w:tcW w:w="4032" w:type="dxa"/>
            <w:tcBorders>
              <w:left w:val="none" w:sz="0" w:space="0" w:color="auto"/>
            </w:tcBorders>
          </w:tcPr>
          <w:p w:rsidR="00B940E6" w:rsidRDefault="00B940E6">
            <w:pPr>
              <w:cnfStyle w:val="000000100000"/>
            </w:pPr>
          </w:p>
        </w:tc>
      </w:tr>
      <w:tr w:rsidR="00B940E6" w:rsidTr="001478A8">
        <w:trPr>
          <w:cnfStyle w:val="000000010000"/>
        </w:trPr>
        <w:tc>
          <w:tcPr>
            <w:cnfStyle w:val="001000000000"/>
            <w:tcW w:w="2610" w:type="dxa"/>
            <w:tcBorders>
              <w:right w:val="none" w:sz="0" w:space="0" w:color="auto"/>
            </w:tcBorders>
          </w:tcPr>
          <w:p w:rsidR="00B940E6" w:rsidRPr="001478A8" w:rsidRDefault="00B940E6" w:rsidP="00B940E6">
            <w:r w:rsidRPr="001478A8">
              <w:t>Retail Excluded?</w:t>
            </w:r>
          </w:p>
        </w:tc>
        <w:tc>
          <w:tcPr>
            <w:tcW w:w="1818" w:type="dxa"/>
            <w:tcBorders>
              <w:left w:val="none" w:sz="0" w:space="0" w:color="auto"/>
              <w:right w:val="none" w:sz="0" w:space="0" w:color="auto"/>
            </w:tcBorders>
          </w:tcPr>
          <w:p w:rsidR="00B940E6" w:rsidRDefault="00EB00AF" w:rsidP="00B940E6">
            <w:pPr>
              <w:jc w:val="center"/>
              <w:cnfStyle w:val="000000010000"/>
            </w:pPr>
            <w:r>
              <w:t>X</w:t>
            </w:r>
          </w:p>
        </w:tc>
        <w:tc>
          <w:tcPr>
            <w:tcW w:w="1980" w:type="dxa"/>
            <w:tcBorders>
              <w:left w:val="none" w:sz="0" w:space="0" w:color="auto"/>
              <w:right w:val="none" w:sz="0" w:space="0" w:color="auto"/>
            </w:tcBorders>
          </w:tcPr>
          <w:p w:rsidR="00B940E6" w:rsidRDefault="00EB00AF" w:rsidP="00B940E6">
            <w:pPr>
              <w:jc w:val="center"/>
              <w:cnfStyle w:val="000000010000"/>
            </w:pPr>
            <w:r>
              <w:t>X</w:t>
            </w:r>
          </w:p>
        </w:tc>
        <w:tc>
          <w:tcPr>
            <w:tcW w:w="4032" w:type="dxa"/>
            <w:tcBorders>
              <w:left w:val="none" w:sz="0" w:space="0" w:color="auto"/>
            </w:tcBorders>
          </w:tcPr>
          <w:p w:rsidR="00B940E6" w:rsidRDefault="00B940E6">
            <w:pPr>
              <w:cnfStyle w:val="000000010000"/>
            </w:pPr>
          </w:p>
        </w:tc>
      </w:tr>
      <w:tr w:rsidR="00B940E6" w:rsidRPr="001478A8" w:rsidTr="001478A8">
        <w:trPr>
          <w:cnfStyle w:val="000000100000"/>
        </w:trPr>
        <w:tc>
          <w:tcPr>
            <w:cnfStyle w:val="001000000000"/>
            <w:tcW w:w="2610" w:type="dxa"/>
            <w:tcBorders>
              <w:right w:val="none" w:sz="0" w:space="0" w:color="auto"/>
            </w:tcBorders>
          </w:tcPr>
          <w:p w:rsidR="00B940E6" w:rsidRPr="001478A8" w:rsidRDefault="00B940E6" w:rsidP="00B940E6">
            <w:pPr>
              <w:rPr>
                <w:color w:val="76923C" w:themeColor="accent3" w:themeShade="BF"/>
              </w:rPr>
            </w:pPr>
            <w:r w:rsidRPr="001478A8">
              <w:rPr>
                <w:color w:val="76923C" w:themeColor="accent3" w:themeShade="BF"/>
              </w:rPr>
              <w:t>Statewide Eligibility?</w:t>
            </w:r>
          </w:p>
        </w:tc>
        <w:tc>
          <w:tcPr>
            <w:tcW w:w="1818" w:type="dxa"/>
            <w:tcBorders>
              <w:left w:val="none" w:sz="0" w:space="0" w:color="auto"/>
              <w:right w:val="none" w:sz="0" w:space="0" w:color="auto"/>
            </w:tcBorders>
          </w:tcPr>
          <w:p w:rsidR="00B940E6" w:rsidRPr="001478A8" w:rsidRDefault="00B940E6" w:rsidP="00B940E6">
            <w:pPr>
              <w:jc w:val="center"/>
              <w:cnfStyle w:val="000000100000"/>
              <w:rPr>
                <w:color w:val="76923C" w:themeColor="accent3" w:themeShade="BF"/>
              </w:rPr>
            </w:pPr>
          </w:p>
        </w:tc>
        <w:tc>
          <w:tcPr>
            <w:tcW w:w="1980" w:type="dxa"/>
            <w:tcBorders>
              <w:left w:val="none" w:sz="0" w:space="0" w:color="auto"/>
              <w:right w:val="none" w:sz="0" w:space="0" w:color="auto"/>
            </w:tcBorders>
          </w:tcPr>
          <w:p w:rsidR="00B940E6" w:rsidRPr="001478A8" w:rsidRDefault="00EB00AF" w:rsidP="00B940E6">
            <w:pPr>
              <w:jc w:val="center"/>
              <w:cnfStyle w:val="000000100000"/>
              <w:rPr>
                <w:color w:val="76923C" w:themeColor="accent3" w:themeShade="BF"/>
              </w:rPr>
            </w:pPr>
            <w:r w:rsidRPr="001478A8">
              <w:rPr>
                <w:color w:val="76923C" w:themeColor="accent3" w:themeShade="BF"/>
              </w:rPr>
              <w:t>X</w:t>
            </w:r>
          </w:p>
        </w:tc>
        <w:tc>
          <w:tcPr>
            <w:tcW w:w="4032" w:type="dxa"/>
            <w:tcBorders>
              <w:left w:val="none" w:sz="0" w:space="0" w:color="auto"/>
            </w:tcBorders>
          </w:tcPr>
          <w:p w:rsidR="00B940E6" w:rsidRPr="001478A8" w:rsidRDefault="00EB00AF">
            <w:pPr>
              <w:cnfStyle w:val="000000100000"/>
              <w:rPr>
                <w:color w:val="76923C" w:themeColor="accent3" w:themeShade="BF"/>
              </w:rPr>
            </w:pPr>
            <w:r w:rsidRPr="001478A8">
              <w:rPr>
                <w:color w:val="76923C" w:themeColor="accent3" w:themeShade="BF"/>
              </w:rPr>
              <w:t>EZ is limited to designated zones</w:t>
            </w:r>
          </w:p>
        </w:tc>
      </w:tr>
      <w:tr w:rsidR="00B940E6" w:rsidTr="001478A8">
        <w:trPr>
          <w:cnfStyle w:val="000000010000"/>
        </w:trPr>
        <w:tc>
          <w:tcPr>
            <w:cnfStyle w:val="001000000000"/>
            <w:tcW w:w="2610" w:type="dxa"/>
            <w:tcBorders>
              <w:right w:val="none" w:sz="0" w:space="0" w:color="auto"/>
            </w:tcBorders>
          </w:tcPr>
          <w:p w:rsidR="00B940E6" w:rsidRPr="001478A8" w:rsidRDefault="00B940E6" w:rsidP="00B940E6">
            <w:r w:rsidRPr="001478A8">
              <w:t>Job Requirements?</w:t>
            </w:r>
          </w:p>
        </w:tc>
        <w:tc>
          <w:tcPr>
            <w:tcW w:w="1818" w:type="dxa"/>
            <w:tcBorders>
              <w:left w:val="none" w:sz="0" w:space="0" w:color="auto"/>
              <w:right w:val="none" w:sz="0" w:space="0" w:color="auto"/>
            </w:tcBorders>
          </w:tcPr>
          <w:p w:rsidR="00B940E6" w:rsidRDefault="00EB00AF" w:rsidP="00B940E6">
            <w:pPr>
              <w:jc w:val="center"/>
              <w:cnfStyle w:val="000000010000"/>
            </w:pPr>
            <w:r>
              <w:t>X</w:t>
            </w:r>
          </w:p>
        </w:tc>
        <w:tc>
          <w:tcPr>
            <w:tcW w:w="1980" w:type="dxa"/>
            <w:tcBorders>
              <w:left w:val="none" w:sz="0" w:space="0" w:color="auto"/>
              <w:right w:val="none" w:sz="0" w:space="0" w:color="auto"/>
            </w:tcBorders>
          </w:tcPr>
          <w:p w:rsidR="00B940E6" w:rsidRDefault="00EB00AF" w:rsidP="00B940E6">
            <w:pPr>
              <w:jc w:val="center"/>
              <w:cnfStyle w:val="000000010000"/>
            </w:pPr>
            <w:r>
              <w:t>X</w:t>
            </w:r>
          </w:p>
        </w:tc>
        <w:tc>
          <w:tcPr>
            <w:tcW w:w="4032" w:type="dxa"/>
            <w:tcBorders>
              <w:left w:val="none" w:sz="0" w:space="0" w:color="auto"/>
            </w:tcBorders>
          </w:tcPr>
          <w:p w:rsidR="00B940E6" w:rsidRDefault="00EB00AF">
            <w:pPr>
              <w:cnfStyle w:val="000000010000"/>
            </w:pPr>
            <w:r>
              <w:t>EZ has minimums; HQJ has a sliding scale</w:t>
            </w:r>
          </w:p>
        </w:tc>
      </w:tr>
      <w:tr w:rsidR="00B940E6" w:rsidRPr="001478A8" w:rsidTr="001478A8">
        <w:trPr>
          <w:cnfStyle w:val="000000100000"/>
        </w:trPr>
        <w:tc>
          <w:tcPr>
            <w:cnfStyle w:val="001000000000"/>
            <w:tcW w:w="2610" w:type="dxa"/>
            <w:tcBorders>
              <w:right w:val="none" w:sz="0" w:space="0" w:color="auto"/>
            </w:tcBorders>
          </w:tcPr>
          <w:p w:rsidR="00B940E6" w:rsidRPr="001478A8" w:rsidRDefault="00B940E6" w:rsidP="00B940E6">
            <w:pPr>
              <w:rPr>
                <w:color w:val="76923C" w:themeColor="accent3" w:themeShade="BF"/>
              </w:rPr>
            </w:pPr>
            <w:r w:rsidRPr="001478A8">
              <w:rPr>
                <w:color w:val="76923C" w:themeColor="accent3" w:themeShade="BF"/>
              </w:rPr>
              <w:t>Loans/Forgivable Loans?</w:t>
            </w:r>
          </w:p>
        </w:tc>
        <w:tc>
          <w:tcPr>
            <w:tcW w:w="1818" w:type="dxa"/>
            <w:tcBorders>
              <w:left w:val="none" w:sz="0" w:space="0" w:color="auto"/>
              <w:right w:val="none" w:sz="0" w:space="0" w:color="auto"/>
            </w:tcBorders>
          </w:tcPr>
          <w:p w:rsidR="00B940E6" w:rsidRPr="001478A8" w:rsidRDefault="00B940E6" w:rsidP="00B940E6">
            <w:pPr>
              <w:jc w:val="center"/>
              <w:cnfStyle w:val="000000100000"/>
              <w:rPr>
                <w:color w:val="76923C" w:themeColor="accent3" w:themeShade="BF"/>
              </w:rPr>
            </w:pPr>
          </w:p>
        </w:tc>
        <w:tc>
          <w:tcPr>
            <w:tcW w:w="1980" w:type="dxa"/>
            <w:tcBorders>
              <w:left w:val="none" w:sz="0" w:space="0" w:color="auto"/>
              <w:right w:val="none" w:sz="0" w:space="0" w:color="auto"/>
            </w:tcBorders>
          </w:tcPr>
          <w:p w:rsidR="00B940E6" w:rsidRPr="001478A8" w:rsidRDefault="00EB00AF" w:rsidP="00B940E6">
            <w:pPr>
              <w:jc w:val="center"/>
              <w:cnfStyle w:val="000000100000"/>
              <w:rPr>
                <w:color w:val="76923C" w:themeColor="accent3" w:themeShade="BF"/>
              </w:rPr>
            </w:pPr>
            <w:r w:rsidRPr="001478A8">
              <w:rPr>
                <w:color w:val="76923C" w:themeColor="accent3" w:themeShade="BF"/>
              </w:rPr>
              <w:t>X</w:t>
            </w:r>
          </w:p>
        </w:tc>
        <w:tc>
          <w:tcPr>
            <w:tcW w:w="4032" w:type="dxa"/>
            <w:tcBorders>
              <w:left w:val="none" w:sz="0" w:space="0" w:color="auto"/>
            </w:tcBorders>
          </w:tcPr>
          <w:p w:rsidR="00B940E6" w:rsidRPr="001478A8" w:rsidRDefault="00EB00AF" w:rsidP="00EB00AF">
            <w:pPr>
              <w:cnfStyle w:val="000000100000"/>
              <w:rPr>
                <w:color w:val="76923C" w:themeColor="accent3" w:themeShade="BF"/>
              </w:rPr>
            </w:pPr>
            <w:r w:rsidRPr="001478A8">
              <w:rPr>
                <w:color w:val="76923C" w:themeColor="accent3" w:themeShade="BF"/>
              </w:rPr>
              <w:t>EZ has no cash component; HQJ does</w:t>
            </w:r>
          </w:p>
        </w:tc>
      </w:tr>
      <w:tr w:rsidR="00B940E6" w:rsidRPr="001478A8" w:rsidTr="001478A8">
        <w:trPr>
          <w:cnfStyle w:val="000000010000"/>
        </w:trPr>
        <w:tc>
          <w:tcPr>
            <w:cnfStyle w:val="001000000000"/>
            <w:tcW w:w="2610" w:type="dxa"/>
            <w:tcBorders>
              <w:right w:val="none" w:sz="0" w:space="0" w:color="auto"/>
            </w:tcBorders>
          </w:tcPr>
          <w:p w:rsidR="00B940E6" w:rsidRPr="001478A8" w:rsidRDefault="00B940E6" w:rsidP="00B940E6">
            <w:pPr>
              <w:rPr>
                <w:color w:val="76923C" w:themeColor="accent3" w:themeShade="BF"/>
              </w:rPr>
            </w:pPr>
            <w:r w:rsidRPr="001478A8">
              <w:rPr>
                <w:color w:val="76923C" w:themeColor="accent3" w:themeShade="BF"/>
              </w:rPr>
              <w:t>Distress Criteria?</w:t>
            </w:r>
          </w:p>
        </w:tc>
        <w:tc>
          <w:tcPr>
            <w:tcW w:w="1818" w:type="dxa"/>
            <w:tcBorders>
              <w:left w:val="none" w:sz="0" w:space="0" w:color="auto"/>
              <w:right w:val="none" w:sz="0" w:space="0" w:color="auto"/>
            </w:tcBorders>
          </w:tcPr>
          <w:p w:rsidR="00B940E6" w:rsidRPr="001478A8" w:rsidRDefault="00EB00AF" w:rsidP="00B940E6">
            <w:pPr>
              <w:jc w:val="center"/>
              <w:cnfStyle w:val="000000010000"/>
              <w:rPr>
                <w:color w:val="76923C" w:themeColor="accent3" w:themeShade="BF"/>
              </w:rPr>
            </w:pPr>
            <w:r w:rsidRPr="001478A8">
              <w:rPr>
                <w:color w:val="76923C" w:themeColor="accent3" w:themeShade="BF"/>
              </w:rPr>
              <w:t>X</w:t>
            </w:r>
          </w:p>
        </w:tc>
        <w:tc>
          <w:tcPr>
            <w:tcW w:w="1980" w:type="dxa"/>
            <w:tcBorders>
              <w:left w:val="none" w:sz="0" w:space="0" w:color="auto"/>
              <w:right w:val="none" w:sz="0" w:space="0" w:color="auto"/>
            </w:tcBorders>
          </w:tcPr>
          <w:p w:rsidR="00B940E6" w:rsidRPr="001478A8" w:rsidRDefault="00EB00AF" w:rsidP="00B940E6">
            <w:pPr>
              <w:jc w:val="center"/>
              <w:cnfStyle w:val="000000010000"/>
              <w:rPr>
                <w:color w:val="76923C" w:themeColor="accent3" w:themeShade="BF"/>
              </w:rPr>
            </w:pPr>
            <w:r w:rsidRPr="001478A8">
              <w:rPr>
                <w:color w:val="76923C" w:themeColor="accent3" w:themeShade="BF"/>
              </w:rPr>
              <w:t>X</w:t>
            </w:r>
          </w:p>
        </w:tc>
        <w:tc>
          <w:tcPr>
            <w:tcW w:w="4032" w:type="dxa"/>
            <w:tcBorders>
              <w:left w:val="none" w:sz="0" w:space="0" w:color="auto"/>
            </w:tcBorders>
          </w:tcPr>
          <w:p w:rsidR="00B940E6" w:rsidRPr="001478A8" w:rsidRDefault="00EB00AF" w:rsidP="001478A8">
            <w:pPr>
              <w:cnfStyle w:val="000000010000"/>
              <w:rPr>
                <w:color w:val="76923C" w:themeColor="accent3" w:themeShade="BF"/>
              </w:rPr>
            </w:pPr>
            <w:r w:rsidRPr="001478A8">
              <w:rPr>
                <w:color w:val="76923C" w:themeColor="accent3" w:themeShade="BF"/>
              </w:rPr>
              <w:t xml:space="preserve">HQJ </w:t>
            </w:r>
            <w:r w:rsidR="001478A8" w:rsidRPr="001478A8">
              <w:rPr>
                <w:color w:val="76923C" w:themeColor="accent3" w:themeShade="BF"/>
              </w:rPr>
              <w:t xml:space="preserve">is county level </w:t>
            </w:r>
            <w:r w:rsidRPr="001478A8">
              <w:rPr>
                <w:color w:val="76923C" w:themeColor="accent3" w:themeShade="BF"/>
              </w:rPr>
              <w:t>unemployment</w:t>
            </w:r>
          </w:p>
        </w:tc>
      </w:tr>
      <w:tr w:rsidR="00B940E6" w:rsidTr="001478A8">
        <w:trPr>
          <w:cnfStyle w:val="000000100000"/>
        </w:trPr>
        <w:tc>
          <w:tcPr>
            <w:cnfStyle w:val="001000000000"/>
            <w:tcW w:w="2610" w:type="dxa"/>
            <w:tcBorders>
              <w:right w:val="none" w:sz="0" w:space="0" w:color="auto"/>
            </w:tcBorders>
          </w:tcPr>
          <w:p w:rsidR="00B940E6" w:rsidRPr="001478A8" w:rsidRDefault="00B940E6" w:rsidP="00B940E6">
            <w:r w:rsidRPr="001478A8">
              <w:t>Contract Administration?</w:t>
            </w:r>
          </w:p>
        </w:tc>
        <w:tc>
          <w:tcPr>
            <w:tcW w:w="1818" w:type="dxa"/>
            <w:tcBorders>
              <w:left w:val="none" w:sz="0" w:space="0" w:color="auto"/>
              <w:right w:val="none" w:sz="0" w:space="0" w:color="auto"/>
            </w:tcBorders>
          </w:tcPr>
          <w:p w:rsidR="00B940E6" w:rsidRDefault="00EB00AF" w:rsidP="00B940E6">
            <w:pPr>
              <w:jc w:val="center"/>
              <w:cnfStyle w:val="000000100000"/>
            </w:pPr>
            <w:r>
              <w:t>X</w:t>
            </w:r>
          </w:p>
        </w:tc>
        <w:tc>
          <w:tcPr>
            <w:tcW w:w="1980" w:type="dxa"/>
            <w:tcBorders>
              <w:left w:val="none" w:sz="0" w:space="0" w:color="auto"/>
              <w:right w:val="none" w:sz="0" w:space="0" w:color="auto"/>
            </w:tcBorders>
          </w:tcPr>
          <w:p w:rsidR="00B940E6" w:rsidRDefault="00EB00AF" w:rsidP="00B940E6">
            <w:pPr>
              <w:jc w:val="center"/>
              <w:cnfStyle w:val="000000100000"/>
            </w:pPr>
            <w:r>
              <w:t>X</w:t>
            </w:r>
          </w:p>
        </w:tc>
        <w:tc>
          <w:tcPr>
            <w:tcW w:w="4032" w:type="dxa"/>
            <w:tcBorders>
              <w:left w:val="none" w:sz="0" w:space="0" w:color="auto"/>
            </w:tcBorders>
          </w:tcPr>
          <w:p w:rsidR="00B940E6" w:rsidRDefault="00B940E6">
            <w:pPr>
              <w:cnfStyle w:val="000000100000"/>
            </w:pPr>
          </w:p>
        </w:tc>
      </w:tr>
      <w:tr w:rsidR="00B940E6" w:rsidTr="001478A8">
        <w:trPr>
          <w:cnfStyle w:val="000000010000"/>
        </w:trPr>
        <w:tc>
          <w:tcPr>
            <w:cnfStyle w:val="001000000000"/>
            <w:tcW w:w="2610" w:type="dxa"/>
            <w:tcBorders>
              <w:right w:val="none" w:sz="0" w:space="0" w:color="auto"/>
            </w:tcBorders>
          </w:tcPr>
          <w:p w:rsidR="00B940E6" w:rsidRPr="001478A8" w:rsidRDefault="00B940E6" w:rsidP="00B940E6">
            <w:r w:rsidRPr="001478A8">
              <w:t>Clawbacks?</w:t>
            </w:r>
          </w:p>
        </w:tc>
        <w:tc>
          <w:tcPr>
            <w:tcW w:w="1818" w:type="dxa"/>
            <w:tcBorders>
              <w:left w:val="none" w:sz="0" w:space="0" w:color="auto"/>
              <w:right w:val="none" w:sz="0" w:space="0" w:color="auto"/>
            </w:tcBorders>
          </w:tcPr>
          <w:p w:rsidR="00B940E6" w:rsidRDefault="00EB00AF" w:rsidP="00B940E6">
            <w:pPr>
              <w:jc w:val="center"/>
              <w:cnfStyle w:val="000000010000"/>
            </w:pPr>
            <w:r>
              <w:t>X</w:t>
            </w:r>
          </w:p>
        </w:tc>
        <w:tc>
          <w:tcPr>
            <w:tcW w:w="1980" w:type="dxa"/>
            <w:tcBorders>
              <w:left w:val="none" w:sz="0" w:space="0" w:color="auto"/>
              <w:right w:val="none" w:sz="0" w:space="0" w:color="auto"/>
            </w:tcBorders>
          </w:tcPr>
          <w:p w:rsidR="00B940E6" w:rsidRDefault="00EB00AF" w:rsidP="00B940E6">
            <w:pPr>
              <w:jc w:val="center"/>
              <w:cnfStyle w:val="000000010000"/>
            </w:pPr>
            <w:r>
              <w:t>X</w:t>
            </w:r>
          </w:p>
        </w:tc>
        <w:tc>
          <w:tcPr>
            <w:tcW w:w="4032" w:type="dxa"/>
            <w:tcBorders>
              <w:left w:val="none" w:sz="0" w:space="0" w:color="auto"/>
            </w:tcBorders>
          </w:tcPr>
          <w:p w:rsidR="00B940E6" w:rsidRDefault="00B940E6">
            <w:pPr>
              <w:cnfStyle w:val="000000010000"/>
            </w:pPr>
          </w:p>
        </w:tc>
      </w:tr>
    </w:tbl>
    <w:p w:rsidR="006A1049" w:rsidRPr="00131D5C" w:rsidRDefault="00131D5C" w:rsidP="00131D5C">
      <w:pPr>
        <w:jc w:val="center"/>
        <w:rPr>
          <w:u w:val="single"/>
        </w:rPr>
      </w:pPr>
      <w:r w:rsidRPr="00131D5C">
        <w:rPr>
          <w:u w:val="single"/>
        </w:rPr>
        <w:t xml:space="preserve">KEY: </w:t>
      </w:r>
      <w:r w:rsidRPr="00131D5C">
        <w:rPr>
          <w:color w:val="FF0000"/>
          <w:u w:val="single"/>
        </w:rPr>
        <w:t>Red = EZ only capability;</w:t>
      </w:r>
      <w:r w:rsidRPr="00131D5C">
        <w:rPr>
          <w:u w:val="single"/>
        </w:rPr>
        <w:t xml:space="preserve"> </w:t>
      </w:r>
      <w:r w:rsidRPr="00131D5C">
        <w:rPr>
          <w:color w:val="76923C" w:themeColor="accent3" w:themeShade="BF"/>
          <w:u w:val="single"/>
        </w:rPr>
        <w:t>Green = HQJ only capability;</w:t>
      </w:r>
      <w:r w:rsidRPr="00131D5C">
        <w:rPr>
          <w:u w:val="single"/>
        </w:rPr>
        <w:t xml:space="preserve"> Black = Both Programs</w:t>
      </w:r>
    </w:p>
    <w:p w:rsidR="00131D5C" w:rsidRDefault="00131D5C"/>
    <w:p w:rsidR="00C8690E" w:rsidRDefault="00EB00AF">
      <w:r>
        <w:lastRenderedPageBreak/>
        <w:t xml:space="preserve">As the above table illustrates, the capabilities of the two programs are remarkably similar. However, IEDA must currently administer </w:t>
      </w:r>
      <w:r w:rsidR="00B519B9">
        <w:t>parallel</w:t>
      </w:r>
      <w:r>
        <w:t xml:space="preserve"> sets of eligibility, </w:t>
      </w:r>
      <w:r w:rsidR="00B519B9">
        <w:t>parallel</w:t>
      </w:r>
      <w:r>
        <w:t xml:space="preserve"> </w:t>
      </w:r>
      <w:r w:rsidR="00B519B9">
        <w:t>rules, parallel compliance</w:t>
      </w:r>
      <w:r>
        <w:t xml:space="preserve">, </w:t>
      </w:r>
      <w:r w:rsidR="00B519B9">
        <w:t>and parallel board approval and contract administration procedures all in order to deliver essentially the same set of program benefits under different sets of eligibility criteria.</w:t>
      </w:r>
    </w:p>
    <w:p w:rsidR="008D3595" w:rsidRDefault="00B519B9">
      <w:r>
        <w:t>A close</w:t>
      </w:r>
      <w:r w:rsidR="001478A8">
        <w:t>r</w:t>
      </w:r>
      <w:r>
        <w:t xml:space="preserve"> look at the table reveals </w:t>
      </w:r>
      <w:r w:rsidR="008D3595">
        <w:t>two things:</w:t>
      </w:r>
    </w:p>
    <w:p w:rsidR="008D3595" w:rsidRDefault="001478A8" w:rsidP="008D3595">
      <w:pPr>
        <w:ind w:left="720"/>
      </w:pPr>
      <w:r>
        <w:t xml:space="preserve">(1) </w:t>
      </w:r>
      <w:r w:rsidR="008D3595">
        <w:t>T</w:t>
      </w:r>
      <w:r>
        <w:t xml:space="preserve">hat </w:t>
      </w:r>
      <w:proofErr w:type="spellStart"/>
      <w:r>
        <w:t>HQJ</w:t>
      </w:r>
      <w:proofErr w:type="spellEnd"/>
      <w:r>
        <w:t xml:space="preserve"> has three </w:t>
      </w:r>
      <w:r w:rsidR="0031439C">
        <w:t xml:space="preserve">critical </w:t>
      </w:r>
      <w:r>
        <w:t xml:space="preserve">capabilities that </w:t>
      </w:r>
      <w:proofErr w:type="spellStart"/>
      <w:r>
        <w:t>EZ</w:t>
      </w:r>
      <w:proofErr w:type="spellEnd"/>
      <w:r>
        <w:t xml:space="preserve"> doesn’t have: statewide eligibility, county level distress criteria, and loan-based assistance; and </w:t>
      </w:r>
    </w:p>
    <w:p w:rsidR="00B519B9" w:rsidRDefault="001478A8" w:rsidP="008D3595">
      <w:pPr>
        <w:ind w:left="720"/>
      </w:pPr>
      <w:r>
        <w:t xml:space="preserve">(2) </w:t>
      </w:r>
      <w:r w:rsidR="008D3595">
        <w:t>T</w:t>
      </w:r>
      <w:r w:rsidR="00B519B9">
        <w:t xml:space="preserve">hat if </w:t>
      </w:r>
      <w:r>
        <w:t xml:space="preserve">the </w:t>
      </w:r>
      <w:r w:rsidR="00B519B9">
        <w:t>housing credits, urban core/city-based distressed criteria</w:t>
      </w:r>
      <w:r>
        <w:t>,</w:t>
      </w:r>
      <w:r w:rsidR="00B519B9">
        <w:t xml:space="preserve"> and </w:t>
      </w:r>
      <w:r w:rsidR="008D3595">
        <w:t>the rural distress focus</w:t>
      </w:r>
      <w:r w:rsidR="00B519B9">
        <w:t xml:space="preserve"> could be folded into HQJ, a single program could be made to do the work of what is now done under two programs. This would greatly simplify </w:t>
      </w:r>
      <w:r>
        <w:t>program offerings</w:t>
      </w:r>
      <w:r w:rsidR="00B519B9">
        <w:t xml:space="preserve"> for businesses, remove unnecessary red-tape at the local level, and make program delivery more efficient at the state level.</w:t>
      </w:r>
    </w:p>
    <w:p w:rsidR="00E560BE" w:rsidRDefault="008D3595">
      <w:r>
        <w:t>IEDA believes that the legislative proposal addresses both of these items in a simple, effective, and efficient manner.</w:t>
      </w:r>
    </w:p>
    <w:sectPr w:rsidR="00E560BE" w:rsidSect="00F4110A">
      <w:headerReference w:type="default" r:id="rId8"/>
      <w:footerReference w:type="default" r:id="rId9"/>
      <w:pgSz w:w="12240" w:h="15840"/>
      <w:pgMar w:top="1714" w:right="1008" w:bottom="1008" w:left="1008" w:header="0" w:footer="4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9C" w:rsidRDefault="0031439C" w:rsidP="0069041A">
      <w:pPr>
        <w:spacing w:after="0" w:line="240" w:lineRule="auto"/>
      </w:pPr>
      <w:r>
        <w:separator/>
      </w:r>
    </w:p>
  </w:endnote>
  <w:endnote w:type="continuationSeparator" w:id="0">
    <w:p w:rsidR="0031439C" w:rsidRDefault="0031439C" w:rsidP="00690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9C" w:rsidRPr="0069041A" w:rsidRDefault="00923FAE">
    <w:pPr>
      <w:pStyle w:val="Footer"/>
      <w:rPr>
        <w:rFonts w:ascii="Arial Narrow" w:hAnsi="Arial Narrow"/>
        <w:b/>
        <w:color w:val="4D4D4D"/>
        <w:sz w:val="18"/>
        <w:szCs w:val="18"/>
      </w:rPr>
    </w:pPr>
    <w:r>
      <w:rPr>
        <w:rFonts w:ascii="Arial Narrow" w:hAnsi="Arial Narrow"/>
        <w:b/>
        <w:color w:val="4D4D4D"/>
        <w:sz w:val="18"/>
        <w:szCs w:val="18"/>
      </w:rPr>
      <w:t>NOVEMBER</w:t>
    </w:r>
    <w:r w:rsidR="0031439C" w:rsidRPr="0069041A">
      <w:rPr>
        <w:rFonts w:ascii="Arial Narrow" w:hAnsi="Arial Narrow"/>
        <w:b/>
        <w:color w:val="4D4D4D"/>
        <w:sz w:val="18"/>
        <w:szCs w:val="18"/>
      </w:rPr>
      <w:t xml:space="preserve"> 201</w:t>
    </w:r>
    <w:r>
      <w:rPr>
        <w:rFonts w:ascii="Arial Narrow" w:hAnsi="Arial Narrow"/>
        <w:b/>
        <w:color w:val="4D4D4D"/>
        <w:sz w:val="18"/>
        <w:szCs w:val="18"/>
      </w:rPr>
      <w:t>3</w:t>
    </w:r>
    <w:r w:rsidR="0031439C" w:rsidRPr="0069041A">
      <w:rPr>
        <w:rFonts w:ascii="Arial Narrow" w:hAnsi="Arial Narrow"/>
        <w:b/>
        <w:color w:val="4D4D4D"/>
        <w:sz w:val="18"/>
        <w:szCs w:val="18"/>
      </w:rPr>
      <w:t xml:space="preserve">  </w:t>
    </w:r>
    <w:r w:rsidR="0031439C" w:rsidRPr="0069041A">
      <w:rPr>
        <w:rFonts w:ascii="Arial Narrow" w:hAnsi="Arial Narrow"/>
        <w:b/>
        <w:color w:val="C1CD23"/>
        <w:sz w:val="18"/>
        <w:szCs w:val="18"/>
      </w:rPr>
      <w:t xml:space="preserve"> |</w:t>
    </w:r>
    <w:r w:rsidR="0031439C" w:rsidRPr="0069041A">
      <w:rPr>
        <w:rFonts w:ascii="Arial Narrow" w:hAnsi="Arial Narrow"/>
        <w:b/>
        <w:color w:val="4D4D4D"/>
        <w:sz w:val="18"/>
        <w:szCs w:val="18"/>
      </w:rPr>
      <w:t xml:space="preserve">   IOWA ECONOMIC DEVELOPMENT AUTHORITY</w:t>
    </w:r>
    <w:r w:rsidR="0031439C" w:rsidRPr="0069041A">
      <w:rPr>
        <w:rFonts w:ascii="Arial Narrow" w:hAnsi="Arial Narrow"/>
        <w:color w:val="4D4D4D"/>
        <w:sz w:val="18"/>
        <w:szCs w:val="18"/>
      </w:rPr>
      <w:tab/>
    </w:r>
    <w:proofErr w:type="gramStart"/>
    <w:r w:rsidR="0031439C" w:rsidRPr="0069041A">
      <w:rPr>
        <w:rFonts w:ascii="Arial Narrow" w:hAnsi="Arial Narrow"/>
        <w:b/>
        <w:color w:val="4D4D4D"/>
        <w:sz w:val="18"/>
        <w:szCs w:val="18"/>
      </w:rPr>
      <w:t xml:space="preserve">Page  </w:t>
    </w:r>
    <w:r w:rsidR="0031439C" w:rsidRPr="0069041A">
      <w:rPr>
        <w:rFonts w:ascii="Arial Narrow" w:hAnsi="Arial Narrow"/>
        <w:b/>
        <w:color w:val="C1CD23"/>
        <w:sz w:val="18"/>
        <w:szCs w:val="18"/>
      </w:rPr>
      <w:t>|</w:t>
    </w:r>
    <w:proofErr w:type="gramEnd"/>
    <w:r w:rsidR="0031439C" w:rsidRPr="0069041A">
      <w:rPr>
        <w:rFonts w:ascii="Arial Narrow" w:hAnsi="Arial Narrow"/>
        <w:b/>
        <w:color w:val="4D4D4D"/>
        <w:sz w:val="18"/>
        <w:szCs w:val="18"/>
      </w:rPr>
      <w:t xml:space="preserve">  </w:t>
    </w:r>
    <w:r w:rsidR="0031439C" w:rsidRPr="0069041A">
      <w:rPr>
        <w:rFonts w:ascii="Arial Narrow" w:hAnsi="Arial Narrow"/>
        <w:b/>
        <w:color w:val="4D4D4D"/>
        <w:sz w:val="18"/>
        <w:szCs w:val="18"/>
      </w:rPr>
      <w:fldChar w:fldCharType="begin"/>
    </w:r>
    <w:r w:rsidR="0031439C" w:rsidRPr="0069041A">
      <w:rPr>
        <w:rFonts w:ascii="Arial Narrow" w:hAnsi="Arial Narrow"/>
        <w:b/>
        <w:color w:val="4D4D4D"/>
        <w:sz w:val="18"/>
        <w:szCs w:val="18"/>
      </w:rPr>
      <w:instrText xml:space="preserve"> PAGE   \* MERGEFORMAT </w:instrText>
    </w:r>
    <w:r w:rsidR="0031439C" w:rsidRPr="0069041A">
      <w:rPr>
        <w:rFonts w:ascii="Arial Narrow" w:hAnsi="Arial Narrow"/>
        <w:b/>
        <w:color w:val="4D4D4D"/>
        <w:sz w:val="18"/>
        <w:szCs w:val="18"/>
      </w:rPr>
      <w:fldChar w:fldCharType="separate"/>
    </w:r>
    <w:r>
      <w:rPr>
        <w:rFonts w:ascii="Arial Narrow" w:hAnsi="Arial Narrow"/>
        <w:b/>
        <w:noProof/>
        <w:color w:val="4D4D4D"/>
        <w:sz w:val="18"/>
        <w:szCs w:val="18"/>
      </w:rPr>
      <w:t>5</w:t>
    </w:r>
    <w:r w:rsidR="0031439C" w:rsidRPr="0069041A">
      <w:rPr>
        <w:rFonts w:ascii="Arial Narrow" w:hAnsi="Arial Narrow"/>
        <w:b/>
        <w:color w:val="4D4D4D"/>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9C" w:rsidRDefault="0031439C" w:rsidP="0069041A">
      <w:pPr>
        <w:spacing w:after="0" w:line="240" w:lineRule="auto"/>
      </w:pPr>
      <w:r>
        <w:separator/>
      </w:r>
    </w:p>
  </w:footnote>
  <w:footnote w:type="continuationSeparator" w:id="0">
    <w:p w:rsidR="0031439C" w:rsidRDefault="0031439C" w:rsidP="0069041A">
      <w:pPr>
        <w:spacing w:after="0" w:line="240" w:lineRule="auto"/>
      </w:pPr>
      <w:r>
        <w:continuationSeparator/>
      </w:r>
    </w:p>
  </w:footnote>
  <w:footnote w:id="1">
    <w:p w:rsidR="0031439C" w:rsidRDefault="0031439C">
      <w:pPr>
        <w:pStyle w:val="FootnoteText"/>
      </w:pPr>
      <w:r>
        <w:rPr>
          <w:rStyle w:val="FootnoteReference"/>
        </w:rPr>
        <w:footnoteRef/>
      </w:r>
      <w:r>
        <w:t xml:space="preserve"> See 2011 SSB 1116 available at </w:t>
      </w:r>
      <w:hyperlink r:id="rId1" w:history="1">
        <w:r w:rsidRPr="006F61C4">
          <w:rPr>
            <w:rStyle w:val="Hyperlink"/>
          </w:rPr>
          <w:t>http://coolice.legis.iowa.gov/linc/84/external/ssb1116_Introduced.pdf</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9C" w:rsidRDefault="0031439C">
    <w:pPr>
      <w:pStyle w:val="Header"/>
    </w:pPr>
    <w:r>
      <w:rPr>
        <w:noProof/>
      </w:rPr>
      <w:drawing>
        <wp:anchor distT="0" distB="0" distL="114300" distR="114300" simplePos="0" relativeHeight="251658240" behindDoc="0" locked="0" layoutInCell="1" allowOverlap="1">
          <wp:simplePos x="0" y="0"/>
          <wp:positionH relativeFrom="column">
            <wp:posOffset>-917296</wp:posOffset>
          </wp:positionH>
          <wp:positionV relativeFrom="paragraph">
            <wp:posOffset>-635</wp:posOffset>
          </wp:positionV>
          <wp:extent cx="7778953" cy="1082650"/>
          <wp:effectExtent l="19050" t="0" r="0" b="0"/>
          <wp:wrapNone/>
          <wp:docPr id="1" name="Picture 0" descr="Word Template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Artwork.jpg"/>
                  <pic:cNvPicPr/>
                </pic:nvPicPr>
                <pic:blipFill>
                  <a:blip r:embed="rId1"/>
                  <a:stretch>
                    <a:fillRect/>
                  </a:stretch>
                </pic:blipFill>
                <pic:spPr>
                  <a:xfrm>
                    <a:off x="0" y="0"/>
                    <a:ext cx="7778953" cy="1082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4D0"/>
    <w:multiLevelType w:val="hybridMultilevel"/>
    <w:tmpl w:val="8D8A4AF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E82283"/>
    <w:multiLevelType w:val="hybridMultilevel"/>
    <w:tmpl w:val="56A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90577"/>
    <w:multiLevelType w:val="hybridMultilevel"/>
    <w:tmpl w:val="8A2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B4A2E"/>
    <w:multiLevelType w:val="hybridMultilevel"/>
    <w:tmpl w:val="FA80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E1770"/>
    <w:rsid w:val="000008B3"/>
    <w:rsid w:val="000175D4"/>
    <w:rsid w:val="00043910"/>
    <w:rsid w:val="00054E36"/>
    <w:rsid w:val="00066855"/>
    <w:rsid w:val="000A38C9"/>
    <w:rsid w:val="000B2DAA"/>
    <w:rsid w:val="000E0542"/>
    <w:rsid w:val="00131D5C"/>
    <w:rsid w:val="00133441"/>
    <w:rsid w:val="001478A8"/>
    <w:rsid w:val="0016380D"/>
    <w:rsid w:val="00197676"/>
    <w:rsid w:val="001B1889"/>
    <w:rsid w:val="002002F6"/>
    <w:rsid w:val="002714B2"/>
    <w:rsid w:val="002A329E"/>
    <w:rsid w:val="002E0EDD"/>
    <w:rsid w:val="00312FFE"/>
    <w:rsid w:val="0031439C"/>
    <w:rsid w:val="00332495"/>
    <w:rsid w:val="00386D88"/>
    <w:rsid w:val="003A7F6A"/>
    <w:rsid w:val="003C392A"/>
    <w:rsid w:val="003C6297"/>
    <w:rsid w:val="003D6B30"/>
    <w:rsid w:val="00431BC6"/>
    <w:rsid w:val="004570BF"/>
    <w:rsid w:val="00497618"/>
    <w:rsid w:val="004E178B"/>
    <w:rsid w:val="00500185"/>
    <w:rsid w:val="00554CCC"/>
    <w:rsid w:val="00555C84"/>
    <w:rsid w:val="00574C31"/>
    <w:rsid w:val="00577E07"/>
    <w:rsid w:val="00585D0D"/>
    <w:rsid w:val="00592A8D"/>
    <w:rsid w:val="005B5679"/>
    <w:rsid w:val="005C46B2"/>
    <w:rsid w:val="0063741F"/>
    <w:rsid w:val="00647AD2"/>
    <w:rsid w:val="006841E0"/>
    <w:rsid w:val="0069041A"/>
    <w:rsid w:val="00691B13"/>
    <w:rsid w:val="006A1049"/>
    <w:rsid w:val="006F04C2"/>
    <w:rsid w:val="006F61C4"/>
    <w:rsid w:val="007138DE"/>
    <w:rsid w:val="007464BC"/>
    <w:rsid w:val="007A0668"/>
    <w:rsid w:val="007C1E74"/>
    <w:rsid w:val="007C3365"/>
    <w:rsid w:val="00805AB6"/>
    <w:rsid w:val="00811D11"/>
    <w:rsid w:val="00834544"/>
    <w:rsid w:val="008D3595"/>
    <w:rsid w:val="00923FAE"/>
    <w:rsid w:val="0099205E"/>
    <w:rsid w:val="00997B75"/>
    <w:rsid w:val="009A20B5"/>
    <w:rsid w:val="009C0280"/>
    <w:rsid w:val="009E1770"/>
    <w:rsid w:val="009E4AB0"/>
    <w:rsid w:val="009F12A5"/>
    <w:rsid w:val="00A11761"/>
    <w:rsid w:val="00A321C1"/>
    <w:rsid w:val="00A458B5"/>
    <w:rsid w:val="00A56FB2"/>
    <w:rsid w:val="00AC3DF3"/>
    <w:rsid w:val="00AC4502"/>
    <w:rsid w:val="00AD128A"/>
    <w:rsid w:val="00B43102"/>
    <w:rsid w:val="00B519B9"/>
    <w:rsid w:val="00B72ADB"/>
    <w:rsid w:val="00B768EC"/>
    <w:rsid w:val="00B940E6"/>
    <w:rsid w:val="00B942F0"/>
    <w:rsid w:val="00B95966"/>
    <w:rsid w:val="00C279B2"/>
    <w:rsid w:val="00C4478C"/>
    <w:rsid w:val="00C452B8"/>
    <w:rsid w:val="00C559F9"/>
    <w:rsid w:val="00C628FF"/>
    <w:rsid w:val="00C70C13"/>
    <w:rsid w:val="00C8690E"/>
    <w:rsid w:val="00C94803"/>
    <w:rsid w:val="00CC6870"/>
    <w:rsid w:val="00D07AE2"/>
    <w:rsid w:val="00D21567"/>
    <w:rsid w:val="00D86A93"/>
    <w:rsid w:val="00DB45D8"/>
    <w:rsid w:val="00DC09FF"/>
    <w:rsid w:val="00DC75A1"/>
    <w:rsid w:val="00E466B2"/>
    <w:rsid w:val="00E560BE"/>
    <w:rsid w:val="00E92804"/>
    <w:rsid w:val="00EB00AF"/>
    <w:rsid w:val="00EB3084"/>
    <w:rsid w:val="00EE412A"/>
    <w:rsid w:val="00F4110A"/>
    <w:rsid w:val="00F7576B"/>
    <w:rsid w:val="00F96071"/>
    <w:rsid w:val="00FC2A38"/>
    <w:rsid w:val="00FD1CAC"/>
    <w:rsid w:val="00FE3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13"/>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041A"/>
  </w:style>
  <w:style w:type="paragraph" w:styleId="Footer">
    <w:name w:val="footer"/>
    <w:basedOn w:val="Normal"/>
    <w:link w:val="FooterChar"/>
    <w:uiPriority w:val="99"/>
    <w:semiHidden/>
    <w:unhideWhenUsed/>
    <w:rsid w:val="006904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041A"/>
  </w:style>
  <w:style w:type="paragraph" w:styleId="BalloonText">
    <w:name w:val="Balloon Text"/>
    <w:basedOn w:val="Normal"/>
    <w:link w:val="BalloonTextChar"/>
    <w:uiPriority w:val="99"/>
    <w:semiHidden/>
    <w:unhideWhenUsed/>
    <w:rsid w:val="0069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1A"/>
    <w:rPr>
      <w:rFonts w:ascii="Tahoma" w:hAnsi="Tahoma" w:cs="Tahoma"/>
      <w:sz w:val="16"/>
      <w:szCs w:val="16"/>
    </w:rPr>
  </w:style>
  <w:style w:type="paragraph" w:styleId="DocumentMap">
    <w:name w:val="Document Map"/>
    <w:basedOn w:val="Normal"/>
    <w:link w:val="DocumentMapChar"/>
    <w:uiPriority w:val="99"/>
    <w:semiHidden/>
    <w:unhideWhenUsed/>
    <w:rsid w:val="000008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08B3"/>
    <w:rPr>
      <w:rFonts w:ascii="Tahoma" w:hAnsi="Tahoma" w:cs="Tahoma"/>
      <w:sz w:val="16"/>
      <w:szCs w:val="16"/>
    </w:rPr>
  </w:style>
  <w:style w:type="paragraph" w:styleId="FootnoteText">
    <w:name w:val="footnote text"/>
    <w:basedOn w:val="Normal"/>
    <w:link w:val="FootnoteTextChar"/>
    <w:uiPriority w:val="99"/>
    <w:semiHidden/>
    <w:unhideWhenUsed/>
    <w:rsid w:val="00E92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804"/>
    <w:rPr>
      <w:sz w:val="20"/>
      <w:szCs w:val="20"/>
    </w:rPr>
  </w:style>
  <w:style w:type="character" w:styleId="FootnoteReference">
    <w:name w:val="footnote reference"/>
    <w:basedOn w:val="DefaultParagraphFont"/>
    <w:uiPriority w:val="99"/>
    <w:semiHidden/>
    <w:unhideWhenUsed/>
    <w:rsid w:val="00E92804"/>
    <w:rPr>
      <w:vertAlign w:val="superscript"/>
    </w:rPr>
  </w:style>
  <w:style w:type="character" w:styleId="Hyperlink">
    <w:name w:val="Hyperlink"/>
    <w:basedOn w:val="DefaultParagraphFont"/>
    <w:uiPriority w:val="99"/>
    <w:unhideWhenUsed/>
    <w:rsid w:val="006F61C4"/>
    <w:rPr>
      <w:color w:val="0000FF" w:themeColor="hyperlink"/>
      <w:u w:val="single"/>
    </w:rPr>
  </w:style>
  <w:style w:type="paragraph" w:styleId="ListParagraph">
    <w:name w:val="List Paragraph"/>
    <w:basedOn w:val="Normal"/>
    <w:uiPriority w:val="34"/>
    <w:qFormat/>
    <w:rsid w:val="00DB45D8"/>
    <w:pPr>
      <w:ind w:left="720"/>
      <w:contextualSpacing/>
    </w:pPr>
  </w:style>
  <w:style w:type="table" w:styleId="TableGrid">
    <w:name w:val="Table Grid"/>
    <w:basedOn w:val="TableNormal"/>
    <w:uiPriority w:val="59"/>
    <w:rsid w:val="00B9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
    <w:name w:val="Light List"/>
    <w:basedOn w:val="TableNormal"/>
    <w:uiPriority w:val="61"/>
    <w:rsid w:val="00332495"/>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3">
    <w:name w:val="Light Shading Accent 3"/>
    <w:basedOn w:val="TableNormal"/>
    <w:uiPriority w:val="60"/>
    <w:rsid w:val="001478A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478A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
    <w:name w:val="Light Shading"/>
    <w:basedOn w:val="TableNormal"/>
    <w:uiPriority w:val="60"/>
    <w:rsid w:val="001478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1478A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MediumShading1">
    <w:name w:val="Medium Shading 1"/>
    <w:basedOn w:val="TableNormal"/>
    <w:uiPriority w:val="63"/>
    <w:rsid w:val="001478A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04370119">
      <w:bodyDiv w:val="1"/>
      <w:marLeft w:val="0"/>
      <w:marRight w:val="0"/>
      <w:marTop w:val="0"/>
      <w:marBottom w:val="0"/>
      <w:divBdr>
        <w:top w:val="none" w:sz="0" w:space="0" w:color="auto"/>
        <w:left w:val="none" w:sz="0" w:space="0" w:color="auto"/>
        <w:bottom w:val="none" w:sz="0" w:space="0" w:color="auto"/>
        <w:right w:val="none" w:sz="0" w:space="0" w:color="auto"/>
      </w:divBdr>
    </w:div>
    <w:div w:id="711539721">
      <w:bodyDiv w:val="1"/>
      <w:marLeft w:val="0"/>
      <w:marRight w:val="0"/>
      <w:marTop w:val="0"/>
      <w:marBottom w:val="0"/>
      <w:divBdr>
        <w:top w:val="none" w:sz="0" w:space="0" w:color="auto"/>
        <w:left w:val="none" w:sz="0" w:space="0" w:color="auto"/>
        <w:bottom w:val="none" w:sz="0" w:space="0" w:color="auto"/>
        <w:right w:val="none" w:sz="0" w:space="0" w:color="auto"/>
      </w:divBdr>
    </w:div>
    <w:div w:id="17299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olice.legis.iowa.gov/linc/84/external/ssb1116_Introduc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offma\Local%20Settings\Temporary%20Internet%20Files\Content.Outlook\PKLIVIEC\BoardDo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AA351-A450-4DF1-97D2-B3D48AB1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BoardDoc_Template.dotx</Template>
  <TotalTime>90</TotalTime>
  <Pages>6</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Iowa Economic Development Authority</Company>
  <LinksUpToDate>false</LinksUpToDate>
  <CharactersWithSpaces>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thoffma</dc:creator>
  <cp:lastModifiedBy>twhipple</cp:lastModifiedBy>
  <cp:revision>7</cp:revision>
  <cp:lastPrinted>2011-10-05T20:00:00Z</cp:lastPrinted>
  <dcterms:created xsi:type="dcterms:W3CDTF">2013-11-08T20:31:00Z</dcterms:created>
  <dcterms:modified xsi:type="dcterms:W3CDTF">2013-11-08T22:44:00Z</dcterms:modified>
</cp:coreProperties>
</file>