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57" w:rsidRDefault="00B973AD" w:rsidP="004A5BF8">
      <w:pPr>
        <w:jc w:val="center"/>
        <w:rPr>
          <w:b/>
        </w:rPr>
      </w:pPr>
      <w:r>
        <w:rPr>
          <w:b/>
        </w:rPr>
        <w:t>Newborn Screening: what to do if a family refuses one or more of the newborn screenings</w:t>
      </w:r>
    </w:p>
    <w:p w:rsidR="004A5BF8" w:rsidRPr="004A5BF8" w:rsidRDefault="004A5BF8" w:rsidP="007600F0">
      <w:pPr>
        <w:pStyle w:val="ListParagraph"/>
        <w:numPr>
          <w:ilvl w:val="0"/>
          <w:numId w:val="13"/>
        </w:numPr>
        <w:rPr>
          <w:b/>
        </w:rPr>
      </w:pPr>
      <w:r w:rsidRPr="00916925">
        <w:rPr>
          <w:i/>
        </w:rPr>
        <w:t>Ensure</w:t>
      </w:r>
      <w:r>
        <w:t xml:space="preserve"> that the refusal is an informed decision by reviewing the importance of newborn screening and the serious implications (potentially life threatening for blood and heart screening) of choosing to decline screening. </w:t>
      </w:r>
    </w:p>
    <w:p w:rsidR="004A5BF8" w:rsidRPr="004A5BF8" w:rsidRDefault="004A5BF8" w:rsidP="007600F0">
      <w:pPr>
        <w:pStyle w:val="ListParagraph"/>
        <w:numPr>
          <w:ilvl w:val="0"/>
          <w:numId w:val="13"/>
        </w:numPr>
        <w:rPr>
          <w:b/>
        </w:rPr>
      </w:pPr>
      <w:r w:rsidRPr="00916925">
        <w:rPr>
          <w:i/>
        </w:rPr>
        <w:t>Inform</w:t>
      </w:r>
      <w:r>
        <w:t xml:space="preserve"> the baby’s medical home of the refusal.</w:t>
      </w:r>
    </w:p>
    <w:p w:rsidR="004A5BF8" w:rsidRPr="004A5BF8" w:rsidRDefault="004A5BF8" w:rsidP="007600F0">
      <w:pPr>
        <w:pStyle w:val="ListParagraph"/>
        <w:numPr>
          <w:ilvl w:val="0"/>
          <w:numId w:val="13"/>
        </w:numPr>
        <w:rPr>
          <w:b/>
        </w:rPr>
      </w:pPr>
      <w:r w:rsidRPr="00916925">
        <w:rPr>
          <w:i/>
        </w:rPr>
        <w:t>Document</w:t>
      </w:r>
      <w:r>
        <w:t xml:space="preserve"> the refusal in a consistent and accessible manner in your organization’s records (i.e. signed refusal of care form in the child’s health record).</w:t>
      </w:r>
    </w:p>
    <w:p w:rsidR="004A5BF8" w:rsidRPr="004A5BF8" w:rsidRDefault="004A5BF8" w:rsidP="007600F0">
      <w:pPr>
        <w:pStyle w:val="ListParagraph"/>
        <w:numPr>
          <w:ilvl w:val="0"/>
          <w:numId w:val="13"/>
        </w:numPr>
        <w:rPr>
          <w:b/>
        </w:rPr>
      </w:pPr>
      <w:r w:rsidRPr="00916925">
        <w:rPr>
          <w:i/>
        </w:rPr>
        <w:t xml:space="preserve">Report </w:t>
      </w:r>
      <w:r>
        <w:t>the refusal to the State Newborn Screening Program</w:t>
      </w:r>
      <w:r w:rsidR="00916925">
        <w:t>.</w:t>
      </w:r>
    </w:p>
    <w:p w:rsidR="00B973AD" w:rsidRDefault="00B973AD" w:rsidP="00B973AD">
      <w:pPr>
        <w:jc w:val="center"/>
        <w:rPr>
          <w:b/>
        </w:rPr>
      </w:pPr>
      <w:r>
        <w:rPr>
          <w:b/>
        </w:rPr>
        <w:t>Reporting Refusals to the State Newborn Screening Program</w:t>
      </w:r>
    </w:p>
    <w:p w:rsidR="00B973AD" w:rsidRDefault="00B973AD" w:rsidP="00B973AD">
      <w:pPr>
        <w:pStyle w:val="NoSpacing"/>
      </w:pPr>
      <w:r>
        <w:t>There are two options for reporting information to the State Newborn Screening Program</w:t>
      </w:r>
      <w:r w:rsidR="007600F0">
        <w:t>:</w:t>
      </w:r>
      <w:r>
        <w:t xml:space="preserve"> </w:t>
      </w:r>
      <w:r w:rsidR="007600F0">
        <w:t xml:space="preserve">1.) </w:t>
      </w:r>
      <w:r>
        <w:t xml:space="preserve">on the blood card or </w:t>
      </w:r>
      <w:r w:rsidR="007600F0">
        <w:t xml:space="preserve">2.) </w:t>
      </w:r>
      <w:proofErr w:type="gramStart"/>
      <w:r w:rsidR="007600F0">
        <w:t>vi</w:t>
      </w:r>
      <w:r>
        <w:t>a</w:t>
      </w:r>
      <w:proofErr w:type="gramEnd"/>
      <w:r>
        <w:t xml:space="preserve"> </w:t>
      </w:r>
      <w:r w:rsidR="007600F0">
        <w:t xml:space="preserve">a </w:t>
      </w:r>
      <w:r>
        <w:t xml:space="preserve">Case Add </w:t>
      </w:r>
      <w:r w:rsidR="007600F0">
        <w:t>R</w:t>
      </w:r>
      <w:r>
        <w:t>equest in WE-TRAC. Information in WE-TRAC comes directly from the blood card submitted to the State Laboratory of Hygiene when a baby in your care received a newborn blood screening. If the family refuses the newborn blood screening, their information does not enter WE-TRAC automatically. Instead, pro</w:t>
      </w:r>
      <w:r w:rsidR="007600F0">
        <w:t>viders need to manually add the</w:t>
      </w:r>
      <w:r>
        <w:t xml:space="preserve"> information. </w:t>
      </w:r>
    </w:p>
    <w:p w:rsidR="00B973AD" w:rsidRDefault="00B973AD" w:rsidP="00B973AD">
      <w:pPr>
        <w:pStyle w:val="NoSpacing"/>
        <w:rPr>
          <w:b/>
        </w:rPr>
      </w:pPr>
    </w:p>
    <w:tbl>
      <w:tblPr>
        <w:tblStyle w:val="TableGrid"/>
        <w:tblW w:w="0" w:type="auto"/>
        <w:tblLook w:val="04A0" w:firstRow="1" w:lastRow="0" w:firstColumn="1" w:lastColumn="0" w:noHBand="0" w:noVBand="1"/>
      </w:tblPr>
      <w:tblGrid>
        <w:gridCol w:w="3258"/>
        <w:gridCol w:w="2610"/>
        <w:gridCol w:w="2520"/>
        <w:gridCol w:w="2628"/>
      </w:tblGrid>
      <w:tr w:rsidR="00B973AD" w:rsidTr="00FA166D">
        <w:tc>
          <w:tcPr>
            <w:tcW w:w="3258" w:type="dxa"/>
          </w:tcPr>
          <w:p w:rsidR="00B973AD" w:rsidRDefault="00B973AD" w:rsidP="00CC6852">
            <w:pPr>
              <w:rPr>
                <w:b/>
              </w:rPr>
            </w:pPr>
          </w:p>
        </w:tc>
        <w:tc>
          <w:tcPr>
            <w:tcW w:w="2610" w:type="dxa"/>
          </w:tcPr>
          <w:p w:rsidR="00FA166D" w:rsidRDefault="00B973AD" w:rsidP="00B973AD">
            <w:pPr>
              <w:rPr>
                <w:b/>
              </w:rPr>
            </w:pPr>
            <w:r>
              <w:rPr>
                <w:b/>
              </w:rPr>
              <w:t xml:space="preserve">Do I need to submit a Case Add Request in </w:t>
            </w:r>
          </w:p>
          <w:p w:rsidR="00B973AD" w:rsidRDefault="00B973AD" w:rsidP="00B973AD">
            <w:pPr>
              <w:rPr>
                <w:b/>
              </w:rPr>
            </w:pPr>
            <w:r>
              <w:rPr>
                <w:b/>
              </w:rPr>
              <w:t>WE-TRAC?</w:t>
            </w:r>
          </w:p>
        </w:tc>
        <w:tc>
          <w:tcPr>
            <w:tcW w:w="2520" w:type="dxa"/>
          </w:tcPr>
          <w:p w:rsidR="00B973AD" w:rsidRDefault="00B973AD" w:rsidP="00CC6852">
            <w:pPr>
              <w:rPr>
                <w:b/>
              </w:rPr>
            </w:pPr>
            <w:r>
              <w:rPr>
                <w:b/>
              </w:rPr>
              <w:t>Can I document refusal on the blood card?</w:t>
            </w:r>
          </w:p>
        </w:tc>
        <w:tc>
          <w:tcPr>
            <w:tcW w:w="2628" w:type="dxa"/>
          </w:tcPr>
          <w:p w:rsidR="00B973AD" w:rsidRDefault="00B973AD" w:rsidP="00CC6852">
            <w:pPr>
              <w:rPr>
                <w:b/>
              </w:rPr>
            </w:pPr>
            <w:r>
              <w:rPr>
                <w:b/>
              </w:rPr>
              <w:t xml:space="preserve">Do I have to manually close as refusal in </w:t>
            </w:r>
            <w:r w:rsidR="00FA166D">
              <w:rPr>
                <w:b/>
              </w:rPr>
              <w:br/>
            </w:r>
            <w:r>
              <w:rPr>
                <w:b/>
              </w:rPr>
              <w:t>WE-TRAC?</w:t>
            </w:r>
          </w:p>
        </w:tc>
      </w:tr>
      <w:tr w:rsidR="00B973AD" w:rsidTr="00FA166D">
        <w:tc>
          <w:tcPr>
            <w:tcW w:w="3258" w:type="dxa"/>
          </w:tcPr>
          <w:p w:rsidR="00B973AD" w:rsidRPr="00B973AD" w:rsidRDefault="00B973AD" w:rsidP="004E00AB">
            <w:r w:rsidRPr="00B973AD">
              <w:t>Refusal of both Blood and Hearing Screenings</w:t>
            </w:r>
          </w:p>
        </w:tc>
        <w:tc>
          <w:tcPr>
            <w:tcW w:w="2610" w:type="dxa"/>
          </w:tcPr>
          <w:p w:rsidR="00B973AD" w:rsidRPr="00607BA1" w:rsidRDefault="00B973AD" w:rsidP="00CC6852">
            <w:r>
              <w:t>Yes</w:t>
            </w:r>
          </w:p>
        </w:tc>
        <w:tc>
          <w:tcPr>
            <w:tcW w:w="2520" w:type="dxa"/>
          </w:tcPr>
          <w:p w:rsidR="00B973AD" w:rsidRPr="00607BA1" w:rsidRDefault="00B973AD" w:rsidP="00CC6852">
            <w:r>
              <w:t>No</w:t>
            </w:r>
          </w:p>
        </w:tc>
        <w:tc>
          <w:tcPr>
            <w:tcW w:w="2628" w:type="dxa"/>
          </w:tcPr>
          <w:p w:rsidR="00B973AD" w:rsidRPr="00607BA1" w:rsidRDefault="00B973AD" w:rsidP="00CC6852">
            <w:r>
              <w:t>Yes</w:t>
            </w:r>
          </w:p>
        </w:tc>
      </w:tr>
      <w:tr w:rsidR="00B973AD" w:rsidTr="00FA166D">
        <w:tc>
          <w:tcPr>
            <w:tcW w:w="3258" w:type="dxa"/>
          </w:tcPr>
          <w:p w:rsidR="00B973AD" w:rsidRPr="00B973AD" w:rsidRDefault="00B973AD" w:rsidP="004E00AB">
            <w:r w:rsidRPr="00B973AD">
              <w:t>Refusal of Blood but Acceptance of Hearing Screening</w:t>
            </w:r>
          </w:p>
        </w:tc>
        <w:tc>
          <w:tcPr>
            <w:tcW w:w="2610" w:type="dxa"/>
          </w:tcPr>
          <w:p w:rsidR="00B973AD" w:rsidRPr="00607BA1" w:rsidRDefault="00B973AD" w:rsidP="00CC6852">
            <w:r>
              <w:t>Yes</w:t>
            </w:r>
          </w:p>
        </w:tc>
        <w:tc>
          <w:tcPr>
            <w:tcW w:w="2520" w:type="dxa"/>
          </w:tcPr>
          <w:p w:rsidR="00B973AD" w:rsidRPr="00607BA1" w:rsidRDefault="00B973AD" w:rsidP="00CC6852">
            <w:r>
              <w:t>No</w:t>
            </w:r>
          </w:p>
        </w:tc>
        <w:tc>
          <w:tcPr>
            <w:tcW w:w="2628" w:type="dxa"/>
          </w:tcPr>
          <w:p w:rsidR="00B973AD" w:rsidRPr="00607BA1" w:rsidRDefault="00B973AD" w:rsidP="00CC6852">
            <w:r>
              <w:t>No</w:t>
            </w:r>
          </w:p>
        </w:tc>
      </w:tr>
      <w:tr w:rsidR="00B973AD" w:rsidTr="002F554C">
        <w:trPr>
          <w:trHeight w:val="602"/>
        </w:trPr>
        <w:tc>
          <w:tcPr>
            <w:tcW w:w="3258" w:type="dxa"/>
          </w:tcPr>
          <w:p w:rsidR="00B973AD" w:rsidRPr="00B973AD" w:rsidRDefault="00B973AD" w:rsidP="004E00AB">
            <w:r w:rsidRPr="00B973AD">
              <w:t>Acceptance of Blood but Refusal of Hearing Screening</w:t>
            </w:r>
          </w:p>
        </w:tc>
        <w:tc>
          <w:tcPr>
            <w:tcW w:w="2610" w:type="dxa"/>
          </w:tcPr>
          <w:p w:rsidR="00B973AD" w:rsidRPr="00607BA1" w:rsidRDefault="00B973AD" w:rsidP="00CC6852">
            <w:r>
              <w:t>No</w:t>
            </w:r>
          </w:p>
        </w:tc>
        <w:tc>
          <w:tcPr>
            <w:tcW w:w="2520" w:type="dxa"/>
          </w:tcPr>
          <w:p w:rsidR="00B973AD" w:rsidRPr="00607BA1" w:rsidRDefault="00B973AD" w:rsidP="00CC6852">
            <w:r>
              <w:t>Yes</w:t>
            </w:r>
          </w:p>
        </w:tc>
        <w:tc>
          <w:tcPr>
            <w:tcW w:w="2628" w:type="dxa"/>
          </w:tcPr>
          <w:p w:rsidR="00B973AD" w:rsidRPr="00607BA1" w:rsidRDefault="00FA166D" w:rsidP="00FA166D">
            <w:r>
              <w:t>No (as long as you marked</w:t>
            </w:r>
            <w:r w:rsidR="00B973AD">
              <w:t xml:space="preserve"> refusal on the blood card</w:t>
            </w:r>
            <w:r>
              <w:t>)</w:t>
            </w:r>
          </w:p>
        </w:tc>
      </w:tr>
      <w:tr w:rsidR="00C9248E" w:rsidTr="00FA166D">
        <w:trPr>
          <w:trHeight w:val="323"/>
        </w:trPr>
        <w:tc>
          <w:tcPr>
            <w:tcW w:w="3258" w:type="dxa"/>
          </w:tcPr>
          <w:p w:rsidR="00C9248E" w:rsidRPr="002F554C" w:rsidRDefault="002F554C" w:rsidP="004E00AB">
            <w:pPr>
              <w:rPr>
                <w:highlight w:val="yellow"/>
              </w:rPr>
            </w:pPr>
            <w:r w:rsidRPr="004730CF">
              <w:t>Refusal of screening for Critical Congenital Heart Disease (CCHD)</w:t>
            </w:r>
          </w:p>
        </w:tc>
        <w:tc>
          <w:tcPr>
            <w:tcW w:w="2610" w:type="dxa"/>
          </w:tcPr>
          <w:p w:rsidR="00C9248E" w:rsidRPr="002F554C" w:rsidRDefault="00C9248E" w:rsidP="002F554C">
            <w:pPr>
              <w:rPr>
                <w:i/>
                <w:highlight w:val="yellow"/>
              </w:rPr>
            </w:pPr>
            <w:bookmarkStart w:id="0" w:name="_GoBack"/>
            <w:bookmarkEnd w:id="0"/>
            <w:r w:rsidRPr="004730CF">
              <w:rPr>
                <w:i/>
              </w:rPr>
              <w:t xml:space="preserve">Please see special note regarding </w:t>
            </w:r>
            <w:r w:rsidR="002F554C" w:rsidRPr="004730CF">
              <w:rPr>
                <w:i/>
              </w:rPr>
              <w:t>CCHD Screening</w:t>
            </w:r>
          </w:p>
        </w:tc>
        <w:tc>
          <w:tcPr>
            <w:tcW w:w="2520" w:type="dxa"/>
          </w:tcPr>
          <w:p w:rsidR="00C9248E" w:rsidRDefault="00C9248E" w:rsidP="00CC6852"/>
        </w:tc>
        <w:tc>
          <w:tcPr>
            <w:tcW w:w="2628" w:type="dxa"/>
          </w:tcPr>
          <w:p w:rsidR="00C9248E" w:rsidRDefault="00C9248E" w:rsidP="00CC6852"/>
        </w:tc>
      </w:tr>
    </w:tbl>
    <w:p w:rsidR="004A7E62" w:rsidRDefault="004A7E62" w:rsidP="004E00AB">
      <w:pPr>
        <w:rPr>
          <w:b/>
        </w:rPr>
      </w:pPr>
    </w:p>
    <w:p w:rsidR="0052051F" w:rsidRDefault="0052051F" w:rsidP="004E00AB">
      <w:r w:rsidRPr="004E00AB">
        <w:rPr>
          <w:b/>
        </w:rPr>
        <w:t xml:space="preserve">Refusal of </w:t>
      </w:r>
      <w:r w:rsidR="00B973AD" w:rsidRPr="004E00AB">
        <w:rPr>
          <w:b/>
          <w:i/>
        </w:rPr>
        <w:t>both</w:t>
      </w:r>
      <w:r w:rsidR="00B973AD" w:rsidRPr="004E00AB">
        <w:rPr>
          <w:b/>
        </w:rPr>
        <w:t xml:space="preserve"> </w:t>
      </w:r>
      <w:r w:rsidRPr="004E00AB">
        <w:rPr>
          <w:b/>
        </w:rPr>
        <w:t xml:space="preserve">Blood and Hearing Screenings: </w:t>
      </w:r>
      <w:r>
        <w:t xml:space="preserve">If the family refused </w:t>
      </w:r>
      <w:r w:rsidR="004E00AB">
        <w:t xml:space="preserve">both </w:t>
      </w:r>
      <w:r>
        <w:t xml:space="preserve">blood and hearing screenings, submit a </w:t>
      </w:r>
      <w:r w:rsidRPr="004E00AB">
        <w:rPr>
          <w:i/>
        </w:rPr>
        <w:t>Case Add Request</w:t>
      </w:r>
      <w:r>
        <w:t xml:space="preserve"> in WE-TRAC</w:t>
      </w:r>
      <w:r w:rsidR="00DC1EDD">
        <w:t xml:space="preserve"> to document both refusals</w:t>
      </w:r>
      <w:r>
        <w:t>.</w:t>
      </w:r>
    </w:p>
    <w:p w:rsidR="00DC1EDD" w:rsidRDefault="00DC1EDD" w:rsidP="00DC1EDD">
      <w:pPr>
        <w:pStyle w:val="NoSpacing"/>
        <w:ind w:left="720"/>
      </w:pPr>
      <w:r>
        <w:t>Step 1: Document refusal of Blood Screening</w:t>
      </w:r>
    </w:p>
    <w:p w:rsidR="0052051F" w:rsidRPr="00DC1EDD" w:rsidRDefault="00DC1EDD" w:rsidP="004E00AB">
      <w:pPr>
        <w:pStyle w:val="NoSpacing"/>
        <w:numPr>
          <w:ilvl w:val="0"/>
          <w:numId w:val="20"/>
        </w:numPr>
        <w:rPr>
          <w:b/>
        </w:rPr>
      </w:pPr>
      <w:r>
        <w:t xml:space="preserve">Log onto your organization’s </w:t>
      </w:r>
      <w:r w:rsidRPr="000C238F">
        <w:rPr>
          <w:color w:val="4F81BD" w:themeColor="accent1"/>
          <w:u w:val="single"/>
        </w:rPr>
        <w:t>WE-TRAC queue</w:t>
      </w:r>
    </w:p>
    <w:p w:rsidR="00DC1EDD" w:rsidRPr="004E00AB" w:rsidRDefault="00DC1EDD" w:rsidP="004E00AB">
      <w:pPr>
        <w:pStyle w:val="ListParagraph"/>
        <w:numPr>
          <w:ilvl w:val="0"/>
          <w:numId w:val="20"/>
        </w:numPr>
        <w:rPr>
          <w:b/>
        </w:rPr>
      </w:pPr>
      <w:r>
        <w:t>Click on the green “Add Case” button on the left-hand side of your organization’s queue</w:t>
      </w:r>
    </w:p>
    <w:p w:rsidR="00DC1EDD" w:rsidRPr="004E00AB" w:rsidRDefault="00DC1EDD" w:rsidP="004E00AB">
      <w:pPr>
        <w:pStyle w:val="ListParagraph"/>
        <w:numPr>
          <w:ilvl w:val="0"/>
          <w:numId w:val="20"/>
        </w:numPr>
        <w:rPr>
          <w:b/>
        </w:rPr>
      </w:pPr>
      <w:r>
        <w:t>Enter all the demographic information for the child</w:t>
      </w:r>
    </w:p>
    <w:p w:rsidR="00DC1EDD" w:rsidRPr="004E00AB" w:rsidRDefault="00DC1EDD" w:rsidP="004E00AB">
      <w:pPr>
        <w:pStyle w:val="ListParagraph"/>
        <w:numPr>
          <w:ilvl w:val="0"/>
          <w:numId w:val="20"/>
        </w:numPr>
        <w:rPr>
          <w:b/>
        </w:rPr>
      </w:pPr>
      <w:r>
        <w:t xml:space="preserve">Select that the family </w:t>
      </w:r>
      <w:r w:rsidR="00AC092E" w:rsidRPr="004E00AB">
        <w:rPr>
          <w:i/>
        </w:rPr>
        <w:t>Refused</w:t>
      </w:r>
      <w:r w:rsidRPr="004E00AB">
        <w:rPr>
          <w:i/>
        </w:rPr>
        <w:t xml:space="preserve"> </w:t>
      </w:r>
      <w:r>
        <w:t>the blood screening</w:t>
      </w:r>
    </w:p>
    <w:p w:rsidR="00DC1EDD" w:rsidRPr="004E00AB" w:rsidRDefault="00DC1EDD" w:rsidP="004E00AB">
      <w:pPr>
        <w:pStyle w:val="ListParagraph"/>
        <w:numPr>
          <w:ilvl w:val="0"/>
          <w:numId w:val="20"/>
        </w:numPr>
        <w:rPr>
          <w:b/>
        </w:rPr>
      </w:pPr>
      <w:r>
        <w:t xml:space="preserve">Leave the hearing screening results </w:t>
      </w:r>
      <w:r w:rsidRPr="004E00AB">
        <w:rPr>
          <w:i/>
        </w:rPr>
        <w:t>blank</w:t>
      </w:r>
    </w:p>
    <w:p w:rsidR="00DC1EDD" w:rsidRPr="004E00AB" w:rsidRDefault="00DC1EDD" w:rsidP="004E00AB">
      <w:pPr>
        <w:pStyle w:val="ListParagraph"/>
        <w:numPr>
          <w:ilvl w:val="0"/>
          <w:numId w:val="20"/>
        </w:numPr>
        <w:rPr>
          <w:b/>
        </w:rPr>
      </w:pPr>
      <w:r>
        <w:t>Click Submit</w:t>
      </w:r>
    </w:p>
    <w:p w:rsidR="00DC1EDD" w:rsidRPr="004E00AB" w:rsidRDefault="00DC1EDD" w:rsidP="004E00AB">
      <w:pPr>
        <w:pStyle w:val="ListParagraph"/>
        <w:numPr>
          <w:ilvl w:val="0"/>
          <w:numId w:val="20"/>
        </w:numPr>
        <w:rPr>
          <w:b/>
        </w:rPr>
      </w:pPr>
      <w:r>
        <w:t>You will receive an email telling you that your case add request has been processed</w:t>
      </w:r>
    </w:p>
    <w:p w:rsidR="00DC1EDD" w:rsidRPr="00DC1EDD" w:rsidRDefault="00DC1EDD" w:rsidP="00DC1EDD">
      <w:pPr>
        <w:pStyle w:val="NoSpacing"/>
        <w:ind w:left="720"/>
      </w:pPr>
      <w:r w:rsidRPr="00DC1EDD">
        <w:t>Step 2: Document refusal of Hearing Screening</w:t>
      </w:r>
    </w:p>
    <w:p w:rsidR="00DC1EDD" w:rsidRPr="00DC1EDD" w:rsidRDefault="00DC1EDD" w:rsidP="004E00AB">
      <w:pPr>
        <w:pStyle w:val="NoSpacing"/>
        <w:numPr>
          <w:ilvl w:val="1"/>
          <w:numId w:val="22"/>
        </w:numPr>
        <w:rPr>
          <w:b/>
        </w:rPr>
      </w:pPr>
      <w:r>
        <w:t xml:space="preserve">Log onto your organization’s </w:t>
      </w:r>
      <w:r w:rsidRPr="001D446A">
        <w:rPr>
          <w:color w:val="4F81BD" w:themeColor="accent1"/>
          <w:u w:val="single"/>
        </w:rPr>
        <w:t>WE-TRAC queue</w:t>
      </w:r>
    </w:p>
    <w:p w:rsidR="00DC1EDD" w:rsidRPr="00DC1EDD" w:rsidRDefault="00DC1EDD" w:rsidP="004E00AB">
      <w:pPr>
        <w:pStyle w:val="NoSpacing"/>
        <w:numPr>
          <w:ilvl w:val="1"/>
          <w:numId w:val="22"/>
        </w:numPr>
        <w:rPr>
          <w:b/>
        </w:rPr>
      </w:pPr>
      <w:r>
        <w:t>On the right-hand side of your queue is a Manage Cases drop-down menu</w:t>
      </w:r>
    </w:p>
    <w:p w:rsidR="00DC1EDD" w:rsidRPr="00DC1EDD" w:rsidRDefault="00DC1EDD" w:rsidP="004E00AB">
      <w:pPr>
        <w:pStyle w:val="NoSpacing"/>
        <w:numPr>
          <w:ilvl w:val="1"/>
          <w:numId w:val="22"/>
        </w:numPr>
        <w:rPr>
          <w:b/>
        </w:rPr>
      </w:pPr>
      <w:r>
        <w:t>For the case who refused hearing screening, select “Close Case” from the manage cases drop-down menu</w:t>
      </w:r>
    </w:p>
    <w:p w:rsidR="00DC1EDD" w:rsidRPr="00DC1EDD" w:rsidRDefault="00DC1EDD" w:rsidP="004E00AB">
      <w:pPr>
        <w:pStyle w:val="NoSpacing"/>
        <w:numPr>
          <w:ilvl w:val="1"/>
          <w:numId w:val="22"/>
        </w:numPr>
        <w:rPr>
          <w:b/>
        </w:rPr>
      </w:pPr>
      <w:r>
        <w:t>Choose “Refusal” from the closed case options</w:t>
      </w:r>
    </w:p>
    <w:p w:rsidR="00DC1EDD" w:rsidRPr="00DC1EDD" w:rsidRDefault="00DC1EDD" w:rsidP="004E00AB">
      <w:pPr>
        <w:pStyle w:val="NoSpacing"/>
        <w:numPr>
          <w:ilvl w:val="1"/>
          <w:numId w:val="22"/>
        </w:numPr>
        <w:rPr>
          <w:b/>
        </w:rPr>
      </w:pPr>
      <w:r>
        <w:t>The case will no longer appear on your WE-TRAC queue and you have successfully reported the refusal to the State Newborn Screening Program</w:t>
      </w:r>
    </w:p>
    <w:p w:rsidR="0052051F" w:rsidRDefault="0052051F" w:rsidP="004E00AB">
      <w:r w:rsidRPr="004E00AB">
        <w:rPr>
          <w:b/>
        </w:rPr>
        <w:lastRenderedPageBreak/>
        <w:t>Refusal of Blood but Acceptance of Hearing Screenings:</w:t>
      </w:r>
      <w:r w:rsidR="00DC1EDD" w:rsidRPr="004E00AB">
        <w:rPr>
          <w:b/>
        </w:rPr>
        <w:t xml:space="preserve"> </w:t>
      </w:r>
      <w:r w:rsidR="00DC1EDD">
        <w:t>If the family refused blood but accepted hearing screening, submit a Case Add Request in WE-TRAC to enter hearing screening results and document blood screening refusal.</w:t>
      </w:r>
    </w:p>
    <w:p w:rsidR="00DC1EDD" w:rsidRPr="00DC1EDD" w:rsidRDefault="00DC1EDD" w:rsidP="004E00AB">
      <w:pPr>
        <w:pStyle w:val="NoSpacing"/>
        <w:numPr>
          <w:ilvl w:val="0"/>
          <w:numId w:val="23"/>
        </w:numPr>
        <w:rPr>
          <w:b/>
        </w:rPr>
      </w:pPr>
      <w:r>
        <w:t>Log onto your organization’s WE-TRAC queue</w:t>
      </w:r>
    </w:p>
    <w:p w:rsidR="00DC1EDD" w:rsidRPr="004E00AB" w:rsidRDefault="00DC1EDD" w:rsidP="004E00AB">
      <w:pPr>
        <w:pStyle w:val="ListParagraph"/>
        <w:numPr>
          <w:ilvl w:val="0"/>
          <w:numId w:val="23"/>
        </w:numPr>
        <w:rPr>
          <w:b/>
        </w:rPr>
      </w:pPr>
      <w:r>
        <w:t>Click on the green “Add Case” button on the left-hand side of your organization’s queue</w:t>
      </w:r>
    </w:p>
    <w:p w:rsidR="00DC1EDD" w:rsidRPr="004E00AB" w:rsidRDefault="00DC1EDD" w:rsidP="004E00AB">
      <w:pPr>
        <w:pStyle w:val="ListParagraph"/>
        <w:numPr>
          <w:ilvl w:val="0"/>
          <w:numId w:val="23"/>
        </w:numPr>
        <w:rPr>
          <w:b/>
        </w:rPr>
      </w:pPr>
      <w:r>
        <w:t>Enter all the demographic information for the child</w:t>
      </w:r>
    </w:p>
    <w:p w:rsidR="00DC1EDD" w:rsidRPr="004E00AB" w:rsidRDefault="00DC1EDD" w:rsidP="004E00AB">
      <w:pPr>
        <w:pStyle w:val="ListParagraph"/>
        <w:numPr>
          <w:ilvl w:val="0"/>
          <w:numId w:val="23"/>
        </w:numPr>
        <w:rPr>
          <w:b/>
        </w:rPr>
      </w:pPr>
      <w:r>
        <w:t xml:space="preserve">Select that the family </w:t>
      </w:r>
      <w:r w:rsidR="00AC092E" w:rsidRPr="004E00AB">
        <w:rPr>
          <w:i/>
        </w:rPr>
        <w:t>Refused</w:t>
      </w:r>
      <w:r>
        <w:t xml:space="preserve"> the blood screening</w:t>
      </w:r>
    </w:p>
    <w:p w:rsidR="00DC1EDD" w:rsidRPr="004E00AB" w:rsidRDefault="00DC1EDD" w:rsidP="004E00AB">
      <w:pPr>
        <w:pStyle w:val="ListParagraph"/>
        <w:numPr>
          <w:ilvl w:val="0"/>
          <w:numId w:val="23"/>
        </w:numPr>
        <w:rPr>
          <w:b/>
        </w:rPr>
      </w:pPr>
      <w:r>
        <w:t xml:space="preserve">Enter the child’s </w:t>
      </w:r>
      <w:r w:rsidRPr="004E00AB">
        <w:rPr>
          <w:i/>
        </w:rPr>
        <w:t>Hearing Screening Results</w:t>
      </w:r>
    </w:p>
    <w:p w:rsidR="00DC1EDD" w:rsidRPr="004E00AB" w:rsidRDefault="00DC1EDD" w:rsidP="004E00AB">
      <w:pPr>
        <w:pStyle w:val="ListParagraph"/>
        <w:numPr>
          <w:ilvl w:val="0"/>
          <w:numId w:val="23"/>
        </w:numPr>
        <w:rPr>
          <w:b/>
        </w:rPr>
      </w:pPr>
      <w:r>
        <w:t>Click Submit</w:t>
      </w:r>
    </w:p>
    <w:p w:rsidR="00DC1EDD" w:rsidRPr="004E00AB" w:rsidRDefault="00DC1EDD" w:rsidP="004E00AB">
      <w:pPr>
        <w:pStyle w:val="ListParagraph"/>
        <w:numPr>
          <w:ilvl w:val="0"/>
          <w:numId w:val="23"/>
        </w:numPr>
        <w:rPr>
          <w:b/>
        </w:rPr>
      </w:pPr>
      <w:r>
        <w:t>You will receive an email telling you that your case add request has been processed</w:t>
      </w:r>
    </w:p>
    <w:p w:rsidR="00DC1EDD" w:rsidRPr="004E00AB" w:rsidRDefault="00DC1EDD" w:rsidP="004E00AB">
      <w:pPr>
        <w:pStyle w:val="ListParagraph"/>
        <w:numPr>
          <w:ilvl w:val="0"/>
          <w:numId w:val="23"/>
        </w:numPr>
        <w:rPr>
          <w:b/>
        </w:rPr>
      </w:pPr>
      <w:r>
        <w:t>If the hearing screening results are pass/pass, the case is archived and will not appear on your WE-TRAC queue</w:t>
      </w:r>
    </w:p>
    <w:p w:rsidR="00DC1EDD" w:rsidRPr="004E00AB" w:rsidRDefault="00DC1EDD" w:rsidP="004E00AB">
      <w:pPr>
        <w:pStyle w:val="ListParagraph"/>
        <w:numPr>
          <w:ilvl w:val="0"/>
          <w:numId w:val="23"/>
        </w:numPr>
        <w:rPr>
          <w:b/>
        </w:rPr>
      </w:pPr>
      <w:r>
        <w:t>If the hearing screening results were not pass/pass, the case will appear on your queue for further follow-up and referrals to service</w:t>
      </w:r>
    </w:p>
    <w:p w:rsidR="00DC1EDD" w:rsidRPr="004E00AB" w:rsidRDefault="00DC1EDD" w:rsidP="004E00AB">
      <w:pPr>
        <w:pStyle w:val="ListParagraph"/>
        <w:numPr>
          <w:ilvl w:val="0"/>
          <w:numId w:val="23"/>
        </w:numPr>
        <w:rPr>
          <w:b/>
        </w:rPr>
      </w:pPr>
      <w:r>
        <w:t>Manage this case as you normally manage other cases that enter your queue</w:t>
      </w:r>
    </w:p>
    <w:p w:rsidR="00AC092E" w:rsidRDefault="0052051F" w:rsidP="004E00AB">
      <w:r w:rsidRPr="004E00AB">
        <w:rPr>
          <w:b/>
        </w:rPr>
        <w:t>Acceptance of Blood but Refusal of Hearing Screening:</w:t>
      </w:r>
      <w:r w:rsidR="00DC1EDD" w:rsidRPr="004E00AB">
        <w:rPr>
          <w:b/>
        </w:rPr>
        <w:t xml:space="preserve"> </w:t>
      </w:r>
      <w:r w:rsidR="00DC1EDD">
        <w:t xml:space="preserve">If the family accepted blood but refused hearing screening, their information will automatically enter WE-TRAC. You </w:t>
      </w:r>
      <w:r w:rsidR="00DC1EDD" w:rsidRPr="004E00AB">
        <w:rPr>
          <w:i/>
        </w:rPr>
        <w:t>do not</w:t>
      </w:r>
      <w:r w:rsidR="00DC1EDD">
        <w:t xml:space="preserve"> hav</w:t>
      </w:r>
      <w:r w:rsidR="00AC092E">
        <w:t xml:space="preserve">e to submit a Case Add request. </w:t>
      </w:r>
    </w:p>
    <w:p w:rsidR="0052051F" w:rsidRPr="00DC1EDD" w:rsidRDefault="00AC092E" w:rsidP="00C9248E">
      <w:pPr>
        <w:pStyle w:val="NoSpacing"/>
        <w:ind w:firstLine="360"/>
      </w:pPr>
      <w:r>
        <w:t>You have two options to document hearing screening refusal (when the child has received a blood screening).</w:t>
      </w:r>
    </w:p>
    <w:p w:rsidR="00C9248E" w:rsidRPr="00C9248E" w:rsidRDefault="004E00AB" w:rsidP="004E00AB">
      <w:pPr>
        <w:pStyle w:val="NoSpacing"/>
        <w:ind w:left="720"/>
        <w:rPr>
          <w:b/>
        </w:rPr>
      </w:pPr>
      <w:r>
        <w:t xml:space="preserve">Option 1: </w:t>
      </w:r>
      <w:r w:rsidR="00AC092E">
        <w:t>Mark “</w:t>
      </w:r>
      <w:r w:rsidR="00AC092E" w:rsidRPr="00AC092E">
        <w:rPr>
          <w:i/>
        </w:rPr>
        <w:t>Refused</w:t>
      </w:r>
      <w:r w:rsidR="00AC092E">
        <w:t xml:space="preserve">” under the Hearing Screening section of the Blood Card, this case will enter WE-TRAC and be archived. This case </w:t>
      </w:r>
      <w:r w:rsidR="00AC092E" w:rsidRPr="00AC092E">
        <w:rPr>
          <w:i/>
        </w:rPr>
        <w:t>will not</w:t>
      </w:r>
      <w:r w:rsidR="00AC092E">
        <w:t xml:space="preserve"> appear on your WE-TRAC queue. </w:t>
      </w:r>
    </w:p>
    <w:p w:rsidR="00C9248E" w:rsidRDefault="00C9248E" w:rsidP="004E00AB">
      <w:pPr>
        <w:pStyle w:val="NoSpacing"/>
        <w:ind w:left="1080"/>
        <w:rPr>
          <w:b/>
        </w:rPr>
      </w:pPr>
    </w:p>
    <w:p w:rsidR="00AC092E" w:rsidRPr="00C9248E" w:rsidRDefault="004E00AB" w:rsidP="004E00AB">
      <w:pPr>
        <w:pStyle w:val="NoSpacing"/>
        <w:ind w:firstLine="720"/>
        <w:rPr>
          <w:b/>
        </w:rPr>
      </w:pPr>
      <w:r>
        <w:t xml:space="preserve">Option 2: </w:t>
      </w:r>
      <w:r w:rsidR="00AC092E">
        <w:t>Manually close the case as “</w:t>
      </w:r>
      <w:r w:rsidR="00AC092E" w:rsidRPr="00C9248E">
        <w:rPr>
          <w:i/>
        </w:rPr>
        <w:t>Refused</w:t>
      </w:r>
      <w:r w:rsidR="00AC092E">
        <w:t>” in WE-TRAC</w:t>
      </w:r>
    </w:p>
    <w:p w:rsidR="00DC1EDD" w:rsidRPr="00DC1EDD" w:rsidRDefault="00DC1EDD" w:rsidP="004E00AB">
      <w:pPr>
        <w:pStyle w:val="NoSpacing"/>
        <w:numPr>
          <w:ilvl w:val="0"/>
          <w:numId w:val="19"/>
        </w:numPr>
        <w:rPr>
          <w:b/>
        </w:rPr>
      </w:pPr>
      <w:r>
        <w:t>Log onto your organization’s WE-TRAC queue</w:t>
      </w:r>
    </w:p>
    <w:p w:rsidR="00DC1EDD" w:rsidRPr="00DC1EDD" w:rsidRDefault="00DC1EDD" w:rsidP="004E00AB">
      <w:pPr>
        <w:pStyle w:val="NoSpacing"/>
        <w:numPr>
          <w:ilvl w:val="0"/>
          <w:numId w:val="19"/>
        </w:numPr>
        <w:rPr>
          <w:b/>
        </w:rPr>
      </w:pPr>
      <w:r>
        <w:t>On the right-hand side of your queue is a Manage Cases drop-down menu</w:t>
      </w:r>
    </w:p>
    <w:p w:rsidR="00DC1EDD" w:rsidRPr="00DC1EDD" w:rsidRDefault="00DC1EDD" w:rsidP="004E00AB">
      <w:pPr>
        <w:pStyle w:val="NoSpacing"/>
        <w:numPr>
          <w:ilvl w:val="0"/>
          <w:numId w:val="19"/>
        </w:numPr>
        <w:rPr>
          <w:b/>
        </w:rPr>
      </w:pPr>
      <w:r>
        <w:t>For the case who refused hearing screening, select “Close Case” from the manage cases drop-down menu</w:t>
      </w:r>
    </w:p>
    <w:p w:rsidR="00DC1EDD" w:rsidRPr="00DC1EDD" w:rsidRDefault="00DC1EDD" w:rsidP="004E00AB">
      <w:pPr>
        <w:pStyle w:val="NoSpacing"/>
        <w:numPr>
          <w:ilvl w:val="0"/>
          <w:numId w:val="19"/>
        </w:numPr>
        <w:rPr>
          <w:b/>
        </w:rPr>
      </w:pPr>
      <w:r>
        <w:t>Choose “Refusal” from the closed case options</w:t>
      </w:r>
    </w:p>
    <w:p w:rsidR="00DC1EDD" w:rsidRPr="00DC1EDD" w:rsidRDefault="00DC1EDD" w:rsidP="004E00AB">
      <w:pPr>
        <w:pStyle w:val="NoSpacing"/>
        <w:numPr>
          <w:ilvl w:val="0"/>
          <w:numId w:val="19"/>
        </w:numPr>
        <w:rPr>
          <w:b/>
        </w:rPr>
      </w:pPr>
      <w:r>
        <w:t>The case will no longer appear on your WE-TRAC queue and you have successfully reported the refusal to the State Newborn Screening Program</w:t>
      </w:r>
    </w:p>
    <w:p w:rsidR="00C9248E" w:rsidRDefault="00C9248E" w:rsidP="00C9248E">
      <w:pPr>
        <w:pStyle w:val="NoSpacing"/>
        <w:rPr>
          <w:b/>
        </w:rPr>
      </w:pPr>
    </w:p>
    <w:p w:rsidR="00B973AD" w:rsidRPr="004730CF" w:rsidRDefault="00B973AD" w:rsidP="00C9248E">
      <w:pPr>
        <w:pStyle w:val="NoSpacing"/>
        <w:rPr>
          <w:b/>
        </w:rPr>
      </w:pPr>
      <w:r w:rsidRPr="004730CF">
        <w:rPr>
          <w:b/>
        </w:rPr>
        <w:t xml:space="preserve">Refusal of </w:t>
      </w:r>
      <w:r w:rsidR="002F554C" w:rsidRPr="004730CF">
        <w:rPr>
          <w:b/>
        </w:rPr>
        <w:t>Screening for Critical Congenital Heart Disease</w:t>
      </w:r>
      <w:r w:rsidRPr="004730CF">
        <w:rPr>
          <w:b/>
        </w:rPr>
        <w:t xml:space="preserve"> (CCHD</w:t>
      </w:r>
      <w:r w:rsidR="002F554C" w:rsidRPr="004730CF">
        <w:rPr>
          <w:b/>
        </w:rPr>
        <w:t>)</w:t>
      </w:r>
      <w:r w:rsidR="007C38DF" w:rsidRPr="004730CF">
        <w:rPr>
          <w:b/>
        </w:rPr>
        <w:t xml:space="preserve"> by Pulse </w:t>
      </w:r>
      <w:proofErr w:type="spellStart"/>
      <w:r w:rsidR="007C38DF" w:rsidRPr="004730CF">
        <w:rPr>
          <w:b/>
        </w:rPr>
        <w:t>Oximetry</w:t>
      </w:r>
      <w:proofErr w:type="spellEnd"/>
      <w:r w:rsidR="007C38DF" w:rsidRPr="004730CF">
        <w:rPr>
          <w:b/>
        </w:rPr>
        <w:t xml:space="preserve"> (POX)</w:t>
      </w:r>
      <w:r w:rsidRPr="004730CF">
        <w:rPr>
          <w:b/>
        </w:rPr>
        <w:t xml:space="preserve">: </w:t>
      </w:r>
    </w:p>
    <w:p w:rsidR="007C38DF" w:rsidRPr="004730CF" w:rsidRDefault="004730CF" w:rsidP="007C38DF">
      <w:pPr>
        <w:spacing w:after="0" w:line="240" w:lineRule="auto"/>
        <w:ind w:left="180"/>
        <w:rPr>
          <w:rFonts w:cs="Times New Roman"/>
        </w:rPr>
      </w:pPr>
      <w:r w:rsidRPr="004730CF">
        <w:rPr>
          <w:rFonts w:cs="Times New Roman"/>
        </w:rPr>
        <w:t>If a family refuse</w:t>
      </w:r>
      <w:r w:rsidR="007C38DF" w:rsidRPr="004730CF">
        <w:rPr>
          <w:rFonts w:cs="Times New Roman"/>
        </w:rPr>
        <w:t xml:space="preserve">s CCHD screening, record “Not Screened” on the newborn blood card.  Complete the “Not Screened for CCHD by POX” form and submit to the Wisconsin State Laboratory of Hygiene (WSLH).  This form is available online as a fillable form at: </w:t>
      </w:r>
      <w:hyperlink r:id="rId8" w:history="1">
        <w:r w:rsidR="009A4B2A" w:rsidRPr="004730CF">
          <w:rPr>
            <w:rStyle w:val="Hyperlink"/>
            <w:rFonts w:eastAsia="Times New Roman" w:cs="Times New Roman"/>
          </w:rPr>
          <w:t>www.wisconsinshine.org/study/Not-Screened-CCHD.docx</w:t>
        </w:r>
      </w:hyperlink>
      <w:r w:rsidR="007C38DF" w:rsidRPr="004730CF">
        <w:rPr>
          <w:rFonts w:eastAsia="Times New Roman"/>
        </w:rPr>
        <w:t xml:space="preserve">.  </w:t>
      </w:r>
      <w:r w:rsidR="007C38DF" w:rsidRPr="004730CF">
        <w:rPr>
          <w:rFonts w:cs="Times New Roman"/>
        </w:rPr>
        <w:t>If there is no blood card because blood screening is declined, please submit this form only.</w:t>
      </w:r>
    </w:p>
    <w:p w:rsidR="007C38DF" w:rsidRPr="004730CF" w:rsidRDefault="007C38DF" w:rsidP="007C38DF">
      <w:pPr>
        <w:spacing w:after="0" w:line="240" w:lineRule="auto"/>
        <w:ind w:left="180"/>
      </w:pPr>
    </w:p>
    <w:p w:rsidR="007C38DF" w:rsidRPr="004730CF" w:rsidRDefault="007C38DF" w:rsidP="007C38DF">
      <w:pPr>
        <w:tabs>
          <w:tab w:val="left" w:pos="3240"/>
        </w:tabs>
        <w:spacing w:after="0" w:line="240" w:lineRule="auto"/>
        <w:ind w:left="180"/>
        <w:rPr>
          <w:rFonts w:cs="Times New Roman"/>
        </w:rPr>
      </w:pPr>
      <w:r w:rsidRPr="004730CF">
        <w:rPr>
          <w:rFonts w:cs="Times New Roman"/>
        </w:rPr>
        <w:t>The completed form may be enclosed with blood cards submitted to the WSLH or mailed separately to the following address:</w:t>
      </w:r>
      <w:r w:rsidRPr="004730CF">
        <w:rPr>
          <w:rFonts w:cs="Times New Roman"/>
        </w:rPr>
        <w:tab/>
        <w:t>Newborn Screening Laboratory</w:t>
      </w:r>
    </w:p>
    <w:p w:rsidR="007C38DF" w:rsidRPr="004730CF" w:rsidRDefault="007C38DF" w:rsidP="007C38DF">
      <w:pPr>
        <w:pStyle w:val="NoSpacing"/>
        <w:ind w:left="3240"/>
        <w:rPr>
          <w:rFonts w:cs="Times New Roman"/>
        </w:rPr>
      </w:pPr>
      <w:r w:rsidRPr="004730CF">
        <w:rPr>
          <w:rFonts w:cs="Times New Roman"/>
        </w:rPr>
        <w:t>Wisconsin State Laboratory of Hygiene</w:t>
      </w:r>
    </w:p>
    <w:p w:rsidR="007C38DF" w:rsidRPr="004730CF" w:rsidRDefault="007C38DF" w:rsidP="007C38DF">
      <w:pPr>
        <w:pStyle w:val="NoSpacing"/>
        <w:ind w:left="3240"/>
        <w:rPr>
          <w:rFonts w:cs="Times New Roman"/>
        </w:rPr>
      </w:pPr>
      <w:r w:rsidRPr="004730CF">
        <w:rPr>
          <w:rFonts w:cs="Times New Roman"/>
        </w:rPr>
        <w:t>465 Henry Mall</w:t>
      </w:r>
    </w:p>
    <w:p w:rsidR="007C38DF" w:rsidRPr="004730CF" w:rsidRDefault="007C38DF" w:rsidP="007C38DF">
      <w:pPr>
        <w:pStyle w:val="NoSpacing"/>
        <w:ind w:left="3240"/>
        <w:rPr>
          <w:rFonts w:cs="Times New Roman"/>
        </w:rPr>
      </w:pPr>
      <w:r w:rsidRPr="004730CF">
        <w:rPr>
          <w:rFonts w:cs="Times New Roman"/>
        </w:rPr>
        <w:t>Madison, WI  53706</w:t>
      </w:r>
    </w:p>
    <w:p w:rsidR="004D0F39" w:rsidRPr="004730CF" w:rsidRDefault="004D0F39" w:rsidP="002F554C">
      <w:pPr>
        <w:pStyle w:val="NoSpacing"/>
        <w:spacing w:line="276" w:lineRule="auto"/>
        <w:rPr>
          <w:szCs w:val="20"/>
        </w:rPr>
      </w:pPr>
    </w:p>
    <w:p w:rsidR="002F554C" w:rsidRPr="004730CF" w:rsidRDefault="002F554C" w:rsidP="002F554C">
      <w:pPr>
        <w:pStyle w:val="NoSpacing"/>
        <w:spacing w:line="276" w:lineRule="auto"/>
        <w:rPr>
          <w:szCs w:val="20"/>
        </w:rPr>
      </w:pPr>
      <w:r w:rsidRPr="004730CF">
        <w:rPr>
          <w:szCs w:val="20"/>
        </w:rPr>
        <w:t>Completion of th</w:t>
      </w:r>
      <w:r w:rsidR="004D0F39" w:rsidRPr="004730CF">
        <w:rPr>
          <w:szCs w:val="20"/>
        </w:rPr>
        <w:t>e</w:t>
      </w:r>
      <w:r w:rsidRPr="004730CF">
        <w:rPr>
          <w:szCs w:val="20"/>
        </w:rPr>
        <w:t xml:space="preserve"> form should </w:t>
      </w:r>
      <w:r w:rsidRPr="004730CF">
        <w:rPr>
          <w:b/>
          <w:szCs w:val="20"/>
        </w:rPr>
        <w:t>NEVER</w:t>
      </w:r>
      <w:r w:rsidRPr="004730CF">
        <w:rPr>
          <w:szCs w:val="20"/>
        </w:rPr>
        <w:t xml:space="preserve"> delay submission of blood cards.</w:t>
      </w:r>
    </w:p>
    <w:p w:rsidR="00B973AD" w:rsidRPr="004730CF" w:rsidRDefault="00B973AD" w:rsidP="00B973AD">
      <w:pPr>
        <w:pStyle w:val="NoSpacing"/>
        <w:rPr>
          <w:color w:val="1F497D"/>
        </w:rPr>
      </w:pPr>
    </w:p>
    <w:p w:rsidR="00B973AD" w:rsidRPr="004730CF" w:rsidRDefault="00B973AD" w:rsidP="00FA166D">
      <w:pPr>
        <w:pStyle w:val="NoSpacing"/>
        <w:jc w:val="center"/>
        <w:rPr>
          <w:b/>
        </w:rPr>
      </w:pPr>
      <w:r w:rsidRPr="004730CF">
        <w:rPr>
          <w:b/>
        </w:rPr>
        <w:t>Blo</w:t>
      </w:r>
      <w:r w:rsidR="00FA166D" w:rsidRPr="004730CF">
        <w:rPr>
          <w:b/>
        </w:rPr>
        <w:t>od Cards and Birth Certificates</w:t>
      </w:r>
    </w:p>
    <w:p w:rsidR="002F554C" w:rsidRPr="004730CF" w:rsidRDefault="00B973AD" w:rsidP="002F554C">
      <w:pPr>
        <w:pStyle w:val="NoSpacing"/>
        <w:numPr>
          <w:ilvl w:val="0"/>
          <w:numId w:val="25"/>
        </w:numPr>
      </w:pPr>
      <w:r w:rsidRPr="004730CF">
        <w:t>If the baby had a blood screening performed, enter the child’s blood card number in the Blood Card ID field</w:t>
      </w:r>
      <w:r w:rsidR="004E00AB" w:rsidRPr="004730CF">
        <w:t xml:space="preserve"> in the State Vital Records Information System (SVRIS)</w:t>
      </w:r>
      <w:r w:rsidRPr="004730CF">
        <w:t xml:space="preserve">. </w:t>
      </w:r>
    </w:p>
    <w:p w:rsidR="002F554C" w:rsidRPr="004730CF" w:rsidRDefault="00B973AD" w:rsidP="002F554C">
      <w:pPr>
        <w:pStyle w:val="NoSpacing"/>
        <w:numPr>
          <w:ilvl w:val="0"/>
          <w:numId w:val="25"/>
        </w:numPr>
      </w:pPr>
      <w:r w:rsidRPr="004730CF">
        <w:lastRenderedPageBreak/>
        <w:t xml:space="preserve">If the family refused newborn blood screening, enter </w:t>
      </w:r>
      <w:r w:rsidRPr="004730CF">
        <w:rPr>
          <w:b/>
        </w:rPr>
        <w:t>X99999</w:t>
      </w:r>
      <w:r w:rsidRPr="004730CF">
        <w:t xml:space="preserve"> in the Blood Card ID field on the child’s birth certificate worksheet and in SVRIS.</w:t>
      </w:r>
    </w:p>
    <w:p w:rsidR="00B973AD" w:rsidRDefault="00B973AD" w:rsidP="002F554C">
      <w:pPr>
        <w:pStyle w:val="NoSpacing"/>
        <w:rPr>
          <w:b/>
        </w:rPr>
      </w:pPr>
      <w:r w:rsidRPr="004730CF">
        <w:t xml:space="preserve"> </w:t>
      </w:r>
      <w:r w:rsidRPr="004730CF">
        <w:rPr>
          <w:b/>
        </w:rPr>
        <w:t>Accurately documenting the Blood Card number or the refusal code helps the Newborn Screenin</w:t>
      </w:r>
      <w:r w:rsidR="004E00AB" w:rsidRPr="004730CF">
        <w:rPr>
          <w:b/>
        </w:rPr>
        <w:t xml:space="preserve">g program ensure that all families who want </w:t>
      </w:r>
      <w:r w:rsidR="001073F1" w:rsidRPr="004730CF">
        <w:rPr>
          <w:b/>
        </w:rPr>
        <w:t xml:space="preserve">blood and hearing </w:t>
      </w:r>
      <w:r w:rsidR="004E00AB" w:rsidRPr="004730CF">
        <w:rPr>
          <w:b/>
        </w:rPr>
        <w:t>newborn screenings for their babies receive them and follow-up when necessary</w:t>
      </w:r>
      <w:r w:rsidRPr="004730CF">
        <w:rPr>
          <w:b/>
        </w:rPr>
        <w:t>.</w:t>
      </w:r>
    </w:p>
    <w:p w:rsidR="00714666" w:rsidRDefault="00714666" w:rsidP="002F554C">
      <w:pPr>
        <w:pStyle w:val="NoSpacing"/>
        <w:rPr>
          <w:b/>
        </w:rPr>
      </w:pPr>
    </w:p>
    <w:p w:rsidR="00714666" w:rsidRPr="00714666" w:rsidRDefault="00714666" w:rsidP="002F554C">
      <w:pPr>
        <w:pStyle w:val="NoSpacing"/>
        <w:rPr>
          <w:sz w:val="18"/>
          <w:szCs w:val="18"/>
        </w:rPr>
      </w:pPr>
      <w:r w:rsidRPr="00714666">
        <w:rPr>
          <w:sz w:val="18"/>
          <w:szCs w:val="18"/>
        </w:rPr>
        <w:t>(Developed by the Wisconsin Newborn Screening Program July 2014)</w:t>
      </w:r>
    </w:p>
    <w:sectPr w:rsidR="00714666" w:rsidRPr="00714666" w:rsidSect="00DC1ED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B1" w:rsidRDefault="005C28B1" w:rsidP="005F083B">
      <w:pPr>
        <w:spacing w:after="0" w:line="240" w:lineRule="auto"/>
      </w:pPr>
      <w:r>
        <w:separator/>
      </w:r>
    </w:p>
  </w:endnote>
  <w:endnote w:type="continuationSeparator" w:id="0">
    <w:p w:rsidR="005C28B1" w:rsidRDefault="005C28B1" w:rsidP="005F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5110"/>
      <w:docPartObj>
        <w:docPartGallery w:val="Page Numbers (Bottom of Page)"/>
        <w:docPartUnique/>
      </w:docPartObj>
    </w:sdtPr>
    <w:sdtEndPr/>
    <w:sdtContent>
      <w:p w:rsidR="00914D2C" w:rsidRDefault="004730CF">
        <w:pPr>
          <w:pStyle w:val="Footer"/>
          <w:jc w:val="center"/>
        </w:pPr>
        <w:r>
          <w:fldChar w:fldCharType="begin"/>
        </w:r>
        <w:r>
          <w:instrText xml:space="preserve"> PAGE   \* MERGEFORMAT </w:instrText>
        </w:r>
        <w:r>
          <w:fldChar w:fldCharType="separate"/>
        </w:r>
        <w:r w:rsidR="00D14442">
          <w:rPr>
            <w:noProof/>
          </w:rPr>
          <w:t>2</w:t>
        </w:r>
        <w:r>
          <w:rPr>
            <w:noProof/>
          </w:rPr>
          <w:fldChar w:fldCharType="end"/>
        </w:r>
      </w:p>
    </w:sdtContent>
  </w:sdt>
  <w:p w:rsidR="00914D2C" w:rsidRDefault="0091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B1" w:rsidRDefault="005C28B1" w:rsidP="005F083B">
      <w:pPr>
        <w:spacing w:after="0" w:line="240" w:lineRule="auto"/>
      </w:pPr>
      <w:r>
        <w:separator/>
      </w:r>
    </w:p>
  </w:footnote>
  <w:footnote w:type="continuationSeparator" w:id="0">
    <w:p w:rsidR="005C28B1" w:rsidRDefault="005C28B1" w:rsidP="005F0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55E"/>
    <w:multiLevelType w:val="hybridMultilevel"/>
    <w:tmpl w:val="6DA6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10DB8"/>
    <w:multiLevelType w:val="hybridMultilevel"/>
    <w:tmpl w:val="0C22C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379C4"/>
    <w:multiLevelType w:val="hybridMultilevel"/>
    <w:tmpl w:val="4BB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F50D4"/>
    <w:multiLevelType w:val="hybridMultilevel"/>
    <w:tmpl w:val="B1440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2F0D29"/>
    <w:multiLevelType w:val="hybridMultilevel"/>
    <w:tmpl w:val="549680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D71C1B"/>
    <w:multiLevelType w:val="hybridMultilevel"/>
    <w:tmpl w:val="177EA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765045"/>
    <w:multiLevelType w:val="hybridMultilevel"/>
    <w:tmpl w:val="7834CC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835B55"/>
    <w:multiLevelType w:val="hybridMultilevel"/>
    <w:tmpl w:val="177EAA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560B02"/>
    <w:multiLevelType w:val="hybridMultilevel"/>
    <w:tmpl w:val="1B0C05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8E0F71"/>
    <w:multiLevelType w:val="hybridMultilevel"/>
    <w:tmpl w:val="204AF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71FE1"/>
    <w:multiLevelType w:val="hybridMultilevel"/>
    <w:tmpl w:val="71A4FB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DA4EF3"/>
    <w:multiLevelType w:val="hybridMultilevel"/>
    <w:tmpl w:val="124662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290BE2"/>
    <w:multiLevelType w:val="hybridMultilevel"/>
    <w:tmpl w:val="A0742D6A"/>
    <w:lvl w:ilvl="0" w:tplc="AB742F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6F475B"/>
    <w:multiLevelType w:val="hybridMultilevel"/>
    <w:tmpl w:val="78885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4E1996"/>
    <w:multiLevelType w:val="hybridMultilevel"/>
    <w:tmpl w:val="7CBA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66078"/>
    <w:multiLevelType w:val="hybridMultilevel"/>
    <w:tmpl w:val="4BF4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C14E97"/>
    <w:multiLevelType w:val="hybridMultilevel"/>
    <w:tmpl w:val="549680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6BD4635"/>
    <w:multiLevelType w:val="hybridMultilevel"/>
    <w:tmpl w:val="2810694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9FF4321"/>
    <w:multiLevelType w:val="hybridMultilevel"/>
    <w:tmpl w:val="177EA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272D68"/>
    <w:multiLevelType w:val="hybridMultilevel"/>
    <w:tmpl w:val="749041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E11CBC"/>
    <w:multiLevelType w:val="hybridMultilevel"/>
    <w:tmpl w:val="1B7605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584A76"/>
    <w:multiLevelType w:val="hybridMultilevel"/>
    <w:tmpl w:val="982675F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8FA798B"/>
    <w:multiLevelType w:val="hybridMultilevel"/>
    <w:tmpl w:val="2E1AFF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5C0C7A"/>
    <w:multiLevelType w:val="hybridMultilevel"/>
    <w:tmpl w:val="C8364D24"/>
    <w:lvl w:ilvl="0" w:tplc="69C8A09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95F11CA"/>
    <w:multiLevelType w:val="hybridMultilevel"/>
    <w:tmpl w:val="6C906B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7BBD4819"/>
    <w:multiLevelType w:val="hybridMultilevel"/>
    <w:tmpl w:val="700019A2"/>
    <w:lvl w:ilvl="0" w:tplc="0DEA1F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061277"/>
    <w:multiLevelType w:val="hybridMultilevel"/>
    <w:tmpl w:val="2334CC9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18"/>
  </w:num>
  <w:num w:numId="5">
    <w:abstractNumId w:val="5"/>
  </w:num>
  <w:num w:numId="6">
    <w:abstractNumId w:val="16"/>
  </w:num>
  <w:num w:numId="7">
    <w:abstractNumId w:val="7"/>
  </w:num>
  <w:num w:numId="8">
    <w:abstractNumId w:val="4"/>
  </w:num>
  <w:num w:numId="9">
    <w:abstractNumId w:val="3"/>
  </w:num>
  <w:num w:numId="10">
    <w:abstractNumId w:val="25"/>
  </w:num>
  <w:num w:numId="11">
    <w:abstractNumId w:val="13"/>
  </w:num>
  <w:num w:numId="12">
    <w:abstractNumId w:val="21"/>
  </w:num>
  <w:num w:numId="13">
    <w:abstractNumId w:val="23"/>
  </w:num>
  <w:num w:numId="14">
    <w:abstractNumId w:val="11"/>
  </w:num>
  <w:num w:numId="15">
    <w:abstractNumId w:val="22"/>
  </w:num>
  <w:num w:numId="16">
    <w:abstractNumId w:val="19"/>
  </w:num>
  <w:num w:numId="17">
    <w:abstractNumId w:val="20"/>
  </w:num>
  <w:num w:numId="18">
    <w:abstractNumId w:val="6"/>
  </w:num>
  <w:num w:numId="19">
    <w:abstractNumId w:val="17"/>
  </w:num>
  <w:num w:numId="20">
    <w:abstractNumId w:val="10"/>
  </w:num>
  <w:num w:numId="21">
    <w:abstractNumId w:val="9"/>
  </w:num>
  <w:num w:numId="22">
    <w:abstractNumId w:val="26"/>
  </w:num>
  <w:num w:numId="23">
    <w:abstractNumId w:val="8"/>
  </w:num>
  <w:num w:numId="24">
    <w:abstractNumId w:val="12"/>
  </w:num>
  <w:num w:numId="25">
    <w:abstractNumId w:val="0"/>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F8"/>
    <w:rsid w:val="000C238F"/>
    <w:rsid w:val="001073F1"/>
    <w:rsid w:val="00164359"/>
    <w:rsid w:val="001D446A"/>
    <w:rsid w:val="00270ADA"/>
    <w:rsid w:val="002B2D29"/>
    <w:rsid w:val="002B5276"/>
    <w:rsid w:val="002F554C"/>
    <w:rsid w:val="004730CF"/>
    <w:rsid w:val="004A570C"/>
    <w:rsid w:val="004A5BF8"/>
    <w:rsid w:val="004A7E62"/>
    <w:rsid w:val="004D0F39"/>
    <w:rsid w:val="004E00AB"/>
    <w:rsid w:val="0052051F"/>
    <w:rsid w:val="00541DC8"/>
    <w:rsid w:val="005C28B1"/>
    <w:rsid w:val="005F083B"/>
    <w:rsid w:val="00607BA1"/>
    <w:rsid w:val="00714666"/>
    <w:rsid w:val="007600F0"/>
    <w:rsid w:val="007C38DF"/>
    <w:rsid w:val="00803A07"/>
    <w:rsid w:val="008D31E3"/>
    <w:rsid w:val="00914D2C"/>
    <w:rsid w:val="00916925"/>
    <w:rsid w:val="009A4B2A"/>
    <w:rsid w:val="00A0398F"/>
    <w:rsid w:val="00AC092E"/>
    <w:rsid w:val="00AE10C3"/>
    <w:rsid w:val="00B718DA"/>
    <w:rsid w:val="00B973AD"/>
    <w:rsid w:val="00BC2981"/>
    <w:rsid w:val="00C45F2B"/>
    <w:rsid w:val="00C9248E"/>
    <w:rsid w:val="00CB75F7"/>
    <w:rsid w:val="00D14442"/>
    <w:rsid w:val="00DB1C61"/>
    <w:rsid w:val="00DC1EDD"/>
    <w:rsid w:val="00E5716C"/>
    <w:rsid w:val="00E66DC5"/>
    <w:rsid w:val="00ED3057"/>
    <w:rsid w:val="00FA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F8"/>
    <w:pPr>
      <w:ind w:left="720"/>
      <w:contextualSpacing/>
    </w:pPr>
  </w:style>
  <w:style w:type="paragraph" w:styleId="NoSpacing">
    <w:name w:val="No Spacing"/>
    <w:qFormat/>
    <w:rsid w:val="00CB75F7"/>
    <w:pPr>
      <w:spacing w:after="0" w:line="240" w:lineRule="auto"/>
    </w:pPr>
  </w:style>
  <w:style w:type="table" w:styleId="TableGrid">
    <w:name w:val="Table Grid"/>
    <w:basedOn w:val="TableNormal"/>
    <w:uiPriority w:val="59"/>
    <w:rsid w:val="00607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0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83B"/>
  </w:style>
  <w:style w:type="paragraph" w:styleId="Footer">
    <w:name w:val="footer"/>
    <w:basedOn w:val="Normal"/>
    <w:link w:val="FooterChar"/>
    <w:uiPriority w:val="99"/>
    <w:unhideWhenUsed/>
    <w:rsid w:val="005F0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83B"/>
  </w:style>
  <w:style w:type="character" w:styleId="CommentReference">
    <w:name w:val="annotation reference"/>
    <w:basedOn w:val="DefaultParagraphFont"/>
    <w:uiPriority w:val="99"/>
    <w:semiHidden/>
    <w:unhideWhenUsed/>
    <w:rsid w:val="004D0F39"/>
    <w:rPr>
      <w:sz w:val="16"/>
      <w:szCs w:val="16"/>
    </w:rPr>
  </w:style>
  <w:style w:type="paragraph" w:styleId="CommentText">
    <w:name w:val="annotation text"/>
    <w:basedOn w:val="Normal"/>
    <w:link w:val="CommentTextChar"/>
    <w:uiPriority w:val="99"/>
    <w:semiHidden/>
    <w:unhideWhenUsed/>
    <w:rsid w:val="004D0F39"/>
    <w:pPr>
      <w:spacing w:line="240" w:lineRule="auto"/>
    </w:pPr>
    <w:rPr>
      <w:sz w:val="20"/>
      <w:szCs w:val="20"/>
    </w:rPr>
  </w:style>
  <w:style w:type="character" w:customStyle="1" w:styleId="CommentTextChar">
    <w:name w:val="Comment Text Char"/>
    <w:basedOn w:val="DefaultParagraphFont"/>
    <w:link w:val="CommentText"/>
    <w:uiPriority w:val="99"/>
    <w:semiHidden/>
    <w:rsid w:val="004D0F39"/>
    <w:rPr>
      <w:sz w:val="20"/>
      <w:szCs w:val="20"/>
    </w:rPr>
  </w:style>
  <w:style w:type="paragraph" w:styleId="CommentSubject">
    <w:name w:val="annotation subject"/>
    <w:basedOn w:val="CommentText"/>
    <w:next w:val="CommentText"/>
    <w:link w:val="CommentSubjectChar"/>
    <w:uiPriority w:val="99"/>
    <w:semiHidden/>
    <w:unhideWhenUsed/>
    <w:rsid w:val="004D0F39"/>
    <w:rPr>
      <w:b/>
      <w:bCs/>
    </w:rPr>
  </w:style>
  <w:style w:type="character" w:customStyle="1" w:styleId="CommentSubjectChar">
    <w:name w:val="Comment Subject Char"/>
    <w:basedOn w:val="CommentTextChar"/>
    <w:link w:val="CommentSubject"/>
    <w:uiPriority w:val="99"/>
    <w:semiHidden/>
    <w:rsid w:val="004D0F39"/>
    <w:rPr>
      <w:b/>
      <w:bCs/>
      <w:sz w:val="20"/>
      <w:szCs w:val="20"/>
    </w:rPr>
  </w:style>
  <w:style w:type="paragraph" w:styleId="BalloonText">
    <w:name w:val="Balloon Text"/>
    <w:basedOn w:val="Normal"/>
    <w:link w:val="BalloonTextChar"/>
    <w:uiPriority w:val="99"/>
    <w:semiHidden/>
    <w:unhideWhenUsed/>
    <w:rsid w:val="004D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39"/>
    <w:rPr>
      <w:rFonts w:ascii="Tahoma" w:hAnsi="Tahoma" w:cs="Tahoma"/>
      <w:sz w:val="16"/>
      <w:szCs w:val="16"/>
    </w:rPr>
  </w:style>
  <w:style w:type="character" w:styleId="Hyperlink">
    <w:name w:val="Hyperlink"/>
    <w:basedOn w:val="DefaultParagraphFont"/>
    <w:uiPriority w:val="99"/>
    <w:unhideWhenUsed/>
    <w:rsid w:val="009A4B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BF8"/>
    <w:pPr>
      <w:ind w:left="720"/>
      <w:contextualSpacing/>
    </w:pPr>
  </w:style>
  <w:style w:type="paragraph" w:styleId="NoSpacing">
    <w:name w:val="No Spacing"/>
    <w:qFormat/>
    <w:rsid w:val="00CB75F7"/>
    <w:pPr>
      <w:spacing w:after="0" w:line="240" w:lineRule="auto"/>
    </w:pPr>
  </w:style>
  <w:style w:type="table" w:styleId="TableGrid">
    <w:name w:val="Table Grid"/>
    <w:basedOn w:val="TableNormal"/>
    <w:uiPriority w:val="59"/>
    <w:rsid w:val="00607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0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83B"/>
  </w:style>
  <w:style w:type="paragraph" w:styleId="Footer">
    <w:name w:val="footer"/>
    <w:basedOn w:val="Normal"/>
    <w:link w:val="FooterChar"/>
    <w:uiPriority w:val="99"/>
    <w:unhideWhenUsed/>
    <w:rsid w:val="005F0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83B"/>
  </w:style>
  <w:style w:type="character" w:styleId="CommentReference">
    <w:name w:val="annotation reference"/>
    <w:basedOn w:val="DefaultParagraphFont"/>
    <w:uiPriority w:val="99"/>
    <w:semiHidden/>
    <w:unhideWhenUsed/>
    <w:rsid w:val="004D0F39"/>
    <w:rPr>
      <w:sz w:val="16"/>
      <w:szCs w:val="16"/>
    </w:rPr>
  </w:style>
  <w:style w:type="paragraph" w:styleId="CommentText">
    <w:name w:val="annotation text"/>
    <w:basedOn w:val="Normal"/>
    <w:link w:val="CommentTextChar"/>
    <w:uiPriority w:val="99"/>
    <w:semiHidden/>
    <w:unhideWhenUsed/>
    <w:rsid w:val="004D0F39"/>
    <w:pPr>
      <w:spacing w:line="240" w:lineRule="auto"/>
    </w:pPr>
    <w:rPr>
      <w:sz w:val="20"/>
      <w:szCs w:val="20"/>
    </w:rPr>
  </w:style>
  <w:style w:type="character" w:customStyle="1" w:styleId="CommentTextChar">
    <w:name w:val="Comment Text Char"/>
    <w:basedOn w:val="DefaultParagraphFont"/>
    <w:link w:val="CommentText"/>
    <w:uiPriority w:val="99"/>
    <w:semiHidden/>
    <w:rsid w:val="004D0F39"/>
    <w:rPr>
      <w:sz w:val="20"/>
      <w:szCs w:val="20"/>
    </w:rPr>
  </w:style>
  <w:style w:type="paragraph" w:styleId="CommentSubject">
    <w:name w:val="annotation subject"/>
    <w:basedOn w:val="CommentText"/>
    <w:next w:val="CommentText"/>
    <w:link w:val="CommentSubjectChar"/>
    <w:uiPriority w:val="99"/>
    <w:semiHidden/>
    <w:unhideWhenUsed/>
    <w:rsid w:val="004D0F39"/>
    <w:rPr>
      <w:b/>
      <w:bCs/>
    </w:rPr>
  </w:style>
  <w:style w:type="character" w:customStyle="1" w:styleId="CommentSubjectChar">
    <w:name w:val="Comment Subject Char"/>
    <w:basedOn w:val="CommentTextChar"/>
    <w:link w:val="CommentSubject"/>
    <w:uiPriority w:val="99"/>
    <w:semiHidden/>
    <w:rsid w:val="004D0F39"/>
    <w:rPr>
      <w:b/>
      <w:bCs/>
      <w:sz w:val="20"/>
      <w:szCs w:val="20"/>
    </w:rPr>
  </w:style>
  <w:style w:type="paragraph" w:styleId="BalloonText">
    <w:name w:val="Balloon Text"/>
    <w:basedOn w:val="Normal"/>
    <w:link w:val="BalloonTextChar"/>
    <w:uiPriority w:val="99"/>
    <w:semiHidden/>
    <w:unhideWhenUsed/>
    <w:rsid w:val="004D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F39"/>
    <w:rPr>
      <w:rFonts w:ascii="Tahoma" w:hAnsi="Tahoma" w:cs="Tahoma"/>
      <w:sz w:val="16"/>
      <w:szCs w:val="16"/>
    </w:rPr>
  </w:style>
  <w:style w:type="character" w:styleId="Hyperlink">
    <w:name w:val="Hyperlink"/>
    <w:basedOn w:val="DefaultParagraphFont"/>
    <w:uiPriority w:val="99"/>
    <w:unhideWhenUsed/>
    <w:rsid w:val="009A4B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5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consinshine.org/study/Not-Screened-CCHD.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Rebecca A</dc:creator>
  <cp:lastModifiedBy>Markle, Timothy S</cp:lastModifiedBy>
  <cp:revision>4</cp:revision>
  <cp:lastPrinted>2014-07-22T14:22:00Z</cp:lastPrinted>
  <dcterms:created xsi:type="dcterms:W3CDTF">2014-08-27T17:32:00Z</dcterms:created>
  <dcterms:modified xsi:type="dcterms:W3CDTF">2014-09-16T12:25:00Z</dcterms:modified>
</cp:coreProperties>
</file>